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1451"/>
        <w:gridCol w:w="267"/>
        <w:gridCol w:w="6929"/>
      </w:tblGrid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575235" w:rsidRDefault="00F445B1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To</w:t>
            </w:r>
            <w:r w:rsidR="005C35A5" w:rsidRPr="00575235">
              <w:rPr>
                <w:rStyle w:val="Firstpagetablebold"/>
                <w:rFonts w:cs="Arial"/>
                <w:color w:val="auto"/>
              </w:rPr>
              <w:t>:</w:t>
            </w:r>
          </w:p>
        </w:tc>
        <w:tc>
          <w:tcPr>
            <w:tcW w:w="6929" w:type="dxa"/>
            <w:shd w:val="clear" w:color="auto" w:fill="auto"/>
          </w:tcPr>
          <w:p w:rsidR="00F445B1" w:rsidRPr="00575235" w:rsidRDefault="00433455" w:rsidP="00801432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>
              <w:rPr>
                <w:rStyle w:val="Firstpagetablebold"/>
                <w:rFonts w:cs="Arial"/>
                <w:color w:val="auto"/>
              </w:rPr>
              <w:t>Shareholder and Joint Venture Group</w:t>
            </w:r>
          </w:p>
        </w:tc>
      </w:tr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575235" w:rsidRDefault="00F445B1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Dat</w:t>
            </w:r>
            <w:r w:rsidR="005C35A5" w:rsidRPr="00575235">
              <w:rPr>
                <w:rStyle w:val="Firstpagetablebold"/>
                <w:rFonts w:cs="Arial"/>
                <w:color w:val="auto"/>
              </w:rPr>
              <w:t>e:</w:t>
            </w:r>
          </w:p>
        </w:tc>
        <w:tc>
          <w:tcPr>
            <w:tcW w:w="6929" w:type="dxa"/>
            <w:shd w:val="clear" w:color="auto" w:fill="auto"/>
          </w:tcPr>
          <w:p w:rsidR="00F445B1" w:rsidRPr="00575235" w:rsidRDefault="00452055" w:rsidP="00D177AB">
            <w:pPr>
              <w:tabs>
                <w:tab w:val="left" w:pos="8647"/>
              </w:tabs>
              <w:ind w:right="1076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16</w:t>
            </w:r>
            <w:r w:rsidR="00A97094">
              <w:rPr>
                <w:rFonts w:cs="Arial"/>
                <w:b/>
                <w:color w:val="auto"/>
              </w:rPr>
              <w:t xml:space="preserve"> </w:t>
            </w:r>
            <w:r w:rsidR="00D177AB">
              <w:rPr>
                <w:rFonts w:cs="Arial"/>
                <w:b/>
                <w:color w:val="auto"/>
              </w:rPr>
              <w:t>Dece</w:t>
            </w:r>
            <w:r>
              <w:rPr>
                <w:rFonts w:cs="Arial"/>
                <w:b/>
                <w:color w:val="auto"/>
              </w:rPr>
              <w:t>mber</w:t>
            </w:r>
            <w:r w:rsidR="00A97094">
              <w:rPr>
                <w:rFonts w:cs="Arial"/>
                <w:b/>
                <w:color w:val="auto"/>
              </w:rPr>
              <w:t xml:space="preserve"> </w:t>
            </w:r>
            <w:r w:rsidR="003058CB">
              <w:rPr>
                <w:rFonts w:cs="Arial"/>
                <w:b/>
                <w:color w:val="auto"/>
              </w:rPr>
              <w:t>2020</w:t>
            </w:r>
          </w:p>
        </w:tc>
      </w:tr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575235" w:rsidRDefault="00F445B1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Report of</w:t>
            </w:r>
            <w:r w:rsidR="005C35A5" w:rsidRPr="00575235">
              <w:rPr>
                <w:rStyle w:val="Firstpagetablebold"/>
                <w:rFonts w:cs="Arial"/>
                <w:color w:val="auto"/>
              </w:rPr>
              <w:t>:</w:t>
            </w:r>
          </w:p>
        </w:tc>
        <w:tc>
          <w:tcPr>
            <w:tcW w:w="6929" w:type="dxa"/>
            <w:shd w:val="clear" w:color="auto" w:fill="auto"/>
          </w:tcPr>
          <w:p w:rsidR="00F445B1" w:rsidRPr="00575235" w:rsidRDefault="006D052F" w:rsidP="00D177AB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Jane Winfield</w:t>
            </w:r>
            <w:r w:rsidR="000947DC">
              <w:rPr>
                <w:rStyle w:val="Firstpagetablebold"/>
                <w:rFonts w:cs="Arial"/>
                <w:color w:val="auto"/>
              </w:rPr>
              <w:t xml:space="preserve">, Regeneration and Major Projects Service </w:t>
            </w:r>
            <w:r w:rsidR="00D177AB">
              <w:rPr>
                <w:rStyle w:val="Firstpagetablebold"/>
                <w:rFonts w:cs="Arial"/>
                <w:color w:val="auto"/>
              </w:rPr>
              <w:t>Head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 xml:space="preserve"> </w:t>
            </w:r>
          </w:p>
        </w:tc>
      </w:tr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575235" w:rsidRDefault="00F445B1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 xml:space="preserve">Title of Report: </w:t>
            </w:r>
          </w:p>
        </w:tc>
        <w:tc>
          <w:tcPr>
            <w:tcW w:w="6929" w:type="dxa"/>
            <w:shd w:val="clear" w:color="auto" w:fill="auto"/>
          </w:tcPr>
          <w:p w:rsidR="006D052F" w:rsidRPr="00575235" w:rsidRDefault="000947DC" w:rsidP="00203C5C">
            <w:pPr>
              <w:tabs>
                <w:tab w:val="left" w:pos="8647"/>
              </w:tabs>
              <w:spacing w:after="0"/>
              <w:ind w:right="1076"/>
              <w:rPr>
                <w:rStyle w:val="Firstpagetablebold"/>
                <w:rFonts w:cs="Arial"/>
                <w:color w:val="auto"/>
              </w:rPr>
            </w:pPr>
            <w:r>
              <w:rPr>
                <w:rStyle w:val="Firstpagetablebold"/>
                <w:rFonts w:cs="Arial"/>
                <w:color w:val="auto"/>
              </w:rPr>
              <w:t>Quarterly P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 xml:space="preserve">rogress </w:t>
            </w:r>
            <w:r>
              <w:rPr>
                <w:rStyle w:val="Firstpagetablebold"/>
                <w:rFonts w:cs="Arial"/>
                <w:color w:val="auto"/>
              </w:rPr>
              <w:t>R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>eport rela</w:t>
            </w:r>
            <w:r>
              <w:rPr>
                <w:rStyle w:val="Firstpagetablebold"/>
                <w:rFonts w:cs="Arial"/>
                <w:color w:val="auto"/>
              </w:rPr>
              <w:t>ting to Barton Park D</w:t>
            </w:r>
            <w:r w:rsidR="006D052F" w:rsidRPr="00575235">
              <w:rPr>
                <w:rStyle w:val="Firstpagetablebold"/>
                <w:rFonts w:cs="Arial"/>
                <w:color w:val="auto"/>
              </w:rPr>
              <w:t>evelopment</w:t>
            </w:r>
          </w:p>
          <w:p w:rsidR="00737C85" w:rsidRPr="00575235" w:rsidRDefault="00C0652D" w:rsidP="00203C5C">
            <w:pPr>
              <w:tabs>
                <w:tab w:val="left" w:pos="8647"/>
              </w:tabs>
              <w:spacing w:after="0"/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 xml:space="preserve"> </w:t>
            </w:r>
          </w:p>
        </w:tc>
      </w:tr>
      <w:tr w:rsidR="00D5547E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445"/>
        </w:trPr>
        <w:tc>
          <w:tcPr>
            <w:tcW w:w="9464" w:type="dxa"/>
            <w:gridSpan w:val="4"/>
            <w:tcBorders>
              <w:bottom w:val="single" w:sz="8" w:space="0" w:color="000000"/>
            </w:tcBorders>
            <w:hideMark/>
          </w:tcPr>
          <w:p w:rsidR="00CC68B0" w:rsidRPr="00575235" w:rsidRDefault="00745BF0" w:rsidP="00203C5C">
            <w:pPr>
              <w:tabs>
                <w:tab w:val="left" w:pos="8647"/>
              </w:tabs>
              <w:ind w:left="601" w:right="1076"/>
              <w:jc w:val="center"/>
              <w:rPr>
                <w:rStyle w:val="Firstpagetablebold"/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Summary and r</w:t>
            </w:r>
            <w:r w:rsidR="00D5547E" w:rsidRPr="00575235">
              <w:rPr>
                <w:rStyle w:val="Firstpagetablebold"/>
                <w:rFonts w:cs="Arial"/>
              </w:rPr>
              <w:t>ecommendations</w:t>
            </w:r>
          </w:p>
        </w:tc>
      </w:tr>
      <w:tr w:rsidR="00D5547E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608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5547E" w:rsidRPr="00575235" w:rsidRDefault="00D5547E" w:rsidP="0041652A">
            <w:pPr>
              <w:tabs>
                <w:tab w:val="left" w:pos="8647"/>
              </w:tabs>
              <w:ind w:right="459"/>
              <w:rPr>
                <w:rStyle w:val="Firstpagetablebold"/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719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91686" w:rsidRPr="00575235" w:rsidRDefault="00591686" w:rsidP="00452055">
            <w:pPr>
              <w:tabs>
                <w:tab w:val="left" w:pos="8647"/>
              </w:tabs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>This report provides an update into the activities of Barton Oxford LLP over the</w:t>
            </w:r>
            <w:r w:rsidR="00A97094">
              <w:rPr>
                <w:rFonts w:cs="Arial"/>
              </w:rPr>
              <w:t xml:space="preserve"> past </w:t>
            </w:r>
            <w:r w:rsidRPr="00575235">
              <w:rPr>
                <w:rFonts w:cs="Arial"/>
              </w:rPr>
              <w:t>quarter</w:t>
            </w:r>
            <w:r w:rsidR="000947DC">
              <w:rPr>
                <w:rFonts w:cs="Arial"/>
              </w:rPr>
              <w:t>.</w:t>
            </w:r>
          </w:p>
        </w:tc>
      </w:tr>
      <w:tr w:rsidR="005F7F7E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319"/>
        </w:trPr>
        <w:tc>
          <w:tcPr>
            <w:tcW w:w="9464" w:type="dxa"/>
            <w:gridSpan w:val="4"/>
            <w:tcBorders>
              <w:top w:val="single" w:sz="4" w:space="0" w:color="auto"/>
              <w:bottom w:val="nil"/>
            </w:tcBorders>
          </w:tcPr>
          <w:p w:rsidR="005F7F7E" w:rsidRPr="00575235" w:rsidRDefault="00433455" w:rsidP="00203C5C">
            <w:pPr>
              <w:tabs>
                <w:tab w:val="left" w:pos="8647"/>
              </w:tabs>
              <w:ind w:right="1076"/>
              <w:rPr>
                <w:rFonts w:cs="Arial"/>
              </w:rPr>
            </w:pPr>
            <w:r>
              <w:rPr>
                <w:rStyle w:val="Firstpagetablebold"/>
                <w:rFonts w:cs="Arial"/>
              </w:rPr>
              <w:t>Recommendation</w:t>
            </w:r>
            <w:r w:rsidR="005F7F7E" w:rsidRPr="00575235">
              <w:rPr>
                <w:rStyle w:val="Firstpagetablebold"/>
                <w:rFonts w:cs="Arial"/>
              </w:rPr>
              <w:t>:</w:t>
            </w:r>
            <w:r>
              <w:rPr>
                <w:rStyle w:val="Firstpagetablebold"/>
                <w:rFonts w:cs="Arial"/>
              </w:rPr>
              <w:t xml:space="preserve"> </w:t>
            </w:r>
            <w:r w:rsidR="00E13656" w:rsidRPr="00575235">
              <w:rPr>
                <w:rStyle w:val="Firstpagetablebold"/>
                <w:rFonts w:cs="Arial"/>
              </w:rPr>
              <w:t>There is a resolution to</w:t>
            </w:r>
            <w:r w:rsidR="005F7F7E" w:rsidRPr="00575235">
              <w:rPr>
                <w:rStyle w:val="Firstpagetablebold"/>
                <w:rFonts w:cs="Arial"/>
              </w:rPr>
              <w:t>:</w:t>
            </w:r>
          </w:p>
        </w:tc>
      </w:tr>
      <w:tr w:rsidR="0030208D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30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575235" w:rsidRDefault="0030208D" w:rsidP="00203C5C">
            <w:pPr>
              <w:pStyle w:val="ListParagraph"/>
              <w:numPr>
                <w:ilvl w:val="0"/>
                <w:numId w:val="31"/>
              </w:numPr>
              <w:tabs>
                <w:tab w:val="clear" w:pos="426"/>
                <w:tab w:val="left" w:pos="8647"/>
              </w:tabs>
              <w:ind w:left="317" w:right="1076" w:hanging="141"/>
              <w:jc w:val="center"/>
              <w:rPr>
                <w:rFonts w:cs="Arial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575235" w:rsidRDefault="00E13656" w:rsidP="00477BE1">
            <w:pPr>
              <w:spacing w:after="0"/>
              <w:ind w:right="1076"/>
              <w:contextualSpacing/>
              <w:jc w:val="both"/>
              <w:rPr>
                <w:rFonts w:cs="Arial"/>
              </w:rPr>
            </w:pPr>
            <w:r w:rsidRPr="00575235">
              <w:rPr>
                <w:rFonts w:cs="Arial"/>
              </w:rPr>
              <w:t>Note the contents of the report</w:t>
            </w:r>
            <w:r w:rsidR="002A2D09">
              <w:rPr>
                <w:rFonts w:cs="Arial"/>
              </w:rPr>
              <w:t>.</w:t>
            </w:r>
            <w:r w:rsidRPr="00575235">
              <w:rPr>
                <w:rFonts w:cs="Arial"/>
              </w:rPr>
              <w:t xml:space="preserve"> </w:t>
            </w:r>
          </w:p>
        </w:tc>
      </w:tr>
    </w:tbl>
    <w:p w:rsidR="00CE544A" w:rsidRPr="00575235" w:rsidRDefault="00CE544A" w:rsidP="00203C5C">
      <w:pPr>
        <w:tabs>
          <w:tab w:val="left" w:pos="8647"/>
        </w:tabs>
        <w:ind w:right="1076"/>
        <w:rPr>
          <w:rFonts w:cs="Arial"/>
        </w:rPr>
      </w:pP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64"/>
      </w:tblGrid>
      <w:tr w:rsidR="00966D42" w:rsidRPr="00575235" w:rsidTr="00801432">
        <w:trPr>
          <w:trHeight w:val="487"/>
        </w:trPr>
        <w:tc>
          <w:tcPr>
            <w:tcW w:w="9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575235" w:rsidRDefault="00966D42" w:rsidP="00203C5C">
            <w:pPr>
              <w:tabs>
                <w:tab w:val="left" w:pos="8647"/>
              </w:tabs>
              <w:ind w:right="1076"/>
              <w:jc w:val="center"/>
              <w:rPr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Appendices</w:t>
            </w:r>
          </w:p>
        </w:tc>
      </w:tr>
      <w:tr w:rsidR="00ED5860" w:rsidRPr="00575235" w:rsidTr="00801432">
        <w:trPr>
          <w:trHeight w:val="37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575235" w:rsidRDefault="00840B10" w:rsidP="0041652A">
            <w:pPr>
              <w:tabs>
                <w:tab w:val="left" w:pos="8647"/>
              </w:tabs>
              <w:ind w:right="325"/>
              <w:rPr>
                <w:rFonts w:cs="Arial"/>
                <w:color w:val="auto"/>
              </w:rPr>
            </w:pPr>
            <w:r w:rsidRPr="00575235">
              <w:rPr>
                <w:rFonts w:cs="Arial"/>
                <w:color w:val="auto"/>
              </w:rPr>
              <w:t xml:space="preserve">Appendix </w:t>
            </w:r>
            <w:r w:rsidR="0041652A">
              <w:rPr>
                <w:rFonts w:cs="Arial"/>
                <w:color w:val="auto"/>
              </w:rPr>
              <w:t>1</w:t>
            </w:r>
          </w:p>
        </w:tc>
        <w:tc>
          <w:tcPr>
            <w:tcW w:w="70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575235" w:rsidRDefault="00A464C4" w:rsidP="0041652A">
            <w:pPr>
              <w:tabs>
                <w:tab w:val="left" w:pos="8647"/>
              </w:tabs>
              <w:ind w:right="1076"/>
              <w:rPr>
                <w:rFonts w:cs="Arial"/>
                <w:color w:val="auto"/>
              </w:rPr>
            </w:pPr>
            <w:r w:rsidRPr="00575235">
              <w:rPr>
                <w:rFonts w:cs="Arial"/>
                <w:color w:val="auto"/>
              </w:rPr>
              <w:t xml:space="preserve">Not for publication </w:t>
            </w:r>
            <w:r w:rsidR="0041652A">
              <w:rPr>
                <w:rFonts w:cs="Arial"/>
                <w:color w:val="auto"/>
              </w:rPr>
              <w:t xml:space="preserve">- </w:t>
            </w:r>
            <w:r w:rsidRPr="00575235">
              <w:rPr>
                <w:rFonts w:cs="Arial"/>
                <w:color w:val="auto"/>
              </w:rPr>
              <w:t>sales and marketing</w:t>
            </w:r>
            <w:r w:rsidR="002A2D09">
              <w:rPr>
                <w:rFonts w:cs="Arial"/>
                <w:color w:val="auto"/>
              </w:rPr>
              <w:t>.</w:t>
            </w:r>
            <w:r w:rsidRPr="00575235">
              <w:rPr>
                <w:rFonts w:cs="Arial"/>
                <w:color w:val="auto"/>
              </w:rPr>
              <w:t xml:space="preserve"> </w:t>
            </w:r>
          </w:p>
        </w:tc>
      </w:tr>
    </w:tbl>
    <w:p w:rsidR="00FB7F38" w:rsidRDefault="00FB7F38" w:rsidP="00203C5C">
      <w:pPr>
        <w:tabs>
          <w:tab w:val="left" w:pos="8647"/>
        </w:tabs>
        <w:spacing w:after="0"/>
        <w:ind w:right="1076"/>
        <w:rPr>
          <w:rFonts w:eastAsiaTheme="minorHAnsi" w:cs="Arial"/>
          <w:color w:val="auto"/>
          <w:lang w:eastAsia="en-US"/>
        </w:rPr>
      </w:pPr>
    </w:p>
    <w:p w:rsidR="0041652A" w:rsidRPr="00575235" w:rsidRDefault="0041652A" w:rsidP="00801432">
      <w:pPr>
        <w:tabs>
          <w:tab w:val="left" w:pos="8647"/>
        </w:tabs>
        <w:spacing w:after="0"/>
        <w:ind w:right="1076"/>
        <w:rPr>
          <w:rFonts w:eastAsiaTheme="minorHAnsi" w:cs="Arial"/>
          <w:color w:val="auto"/>
          <w:lang w:eastAsia="en-US"/>
        </w:rPr>
      </w:pPr>
    </w:p>
    <w:p w:rsidR="00FB7F38" w:rsidRPr="00575235" w:rsidRDefault="00FB7F38" w:rsidP="00801432">
      <w:pPr>
        <w:tabs>
          <w:tab w:val="left" w:pos="8647"/>
        </w:tabs>
        <w:ind w:right="1077"/>
        <w:rPr>
          <w:rFonts w:eastAsiaTheme="minorHAnsi" w:cs="Arial"/>
          <w:b/>
          <w:color w:val="auto"/>
          <w:lang w:eastAsia="en-US"/>
        </w:rPr>
      </w:pPr>
      <w:r w:rsidRPr="00575235">
        <w:rPr>
          <w:rFonts w:eastAsiaTheme="minorHAnsi" w:cs="Arial"/>
          <w:b/>
          <w:color w:val="auto"/>
          <w:lang w:eastAsia="en-US"/>
        </w:rPr>
        <w:t xml:space="preserve">Introduction and </w:t>
      </w:r>
      <w:r w:rsidR="008B593E" w:rsidRPr="00575235">
        <w:rPr>
          <w:rFonts w:eastAsiaTheme="minorHAnsi" w:cs="Arial"/>
          <w:b/>
          <w:color w:val="auto"/>
          <w:lang w:eastAsia="en-US"/>
        </w:rPr>
        <w:t>b</w:t>
      </w:r>
      <w:r w:rsidRPr="00575235">
        <w:rPr>
          <w:rFonts w:eastAsiaTheme="minorHAnsi" w:cs="Arial"/>
          <w:b/>
          <w:color w:val="auto"/>
          <w:lang w:eastAsia="en-US"/>
        </w:rPr>
        <w:t>ackground</w:t>
      </w:r>
    </w:p>
    <w:p w:rsidR="0057130A" w:rsidRDefault="007859F3" w:rsidP="00433455">
      <w:pPr>
        <w:pStyle w:val="bParagraphtext"/>
        <w:rPr>
          <w:rFonts w:eastAsiaTheme="minorHAnsi"/>
          <w:lang w:eastAsia="en-US"/>
        </w:rPr>
      </w:pPr>
      <w:r w:rsidRPr="00AD78FD">
        <w:rPr>
          <w:rFonts w:eastAsiaTheme="minorHAnsi"/>
          <w:lang w:eastAsia="en-US"/>
        </w:rPr>
        <w:t xml:space="preserve">This is the </w:t>
      </w:r>
      <w:r w:rsidR="00D177AB">
        <w:rPr>
          <w:rFonts w:eastAsiaTheme="minorHAnsi"/>
          <w:lang w:eastAsia="en-US"/>
        </w:rPr>
        <w:t>seventh</w:t>
      </w:r>
      <w:r w:rsidRPr="00AD78FD">
        <w:rPr>
          <w:rFonts w:eastAsiaTheme="minorHAnsi"/>
          <w:lang w:eastAsia="en-US"/>
        </w:rPr>
        <w:t xml:space="preserve"> report to the Shar</w:t>
      </w:r>
      <w:r w:rsidR="000947DC" w:rsidRPr="00AD78FD">
        <w:rPr>
          <w:rFonts w:eastAsiaTheme="minorHAnsi"/>
          <w:lang w:eastAsia="en-US"/>
        </w:rPr>
        <w:t>eholder and Joint Venture Group</w:t>
      </w:r>
      <w:r w:rsidR="00E30BB3" w:rsidRPr="00AD78FD">
        <w:rPr>
          <w:rFonts w:eastAsiaTheme="minorHAnsi"/>
          <w:lang w:eastAsia="en-US"/>
        </w:rPr>
        <w:t xml:space="preserve"> covering the period since the previous update in </w:t>
      </w:r>
      <w:r w:rsidR="00D177AB">
        <w:rPr>
          <w:rFonts w:eastAsiaTheme="minorHAnsi"/>
          <w:lang w:eastAsia="en-US"/>
        </w:rPr>
        <w:t>September</w:t>
      </w:r>
      <w:r w:rsidR="00452055">
        <w:rPr>
          <w:rFonts w:eastAsiaTheme="minorHAnsi"/>
          <w:lang w:eastAsia="en-US"/>
        </w:rPr>
        <w:t xml:space="preserve"> 2020</w:t>
      </w:r>
      <w:r w:rsidRPr="00AD78FD">
        <w:rPr>
          <w:rFonts w:eastAsiaTheme="minorHAnsi"/>
          <w:lang w:eastAsia="en-US"/>
        </w:rPr>
        <w:t xml:space="preserve">. </w:t>
      </w:r>
    </w:p>
    <w:p w:rsidR="00433455" w:rsidRDefault="00433455" w:rsidP="00433455">
      <w:pPr>
        <w:pStyle w:val="bParagraphtext"/>
        <w:numPr>
          <w:ilvl w:val="0"/>
          <w:numId w:val="0"/>
        </w:numPr>
        <w:ind w:left="426"/>
        <w:rPr>
          <w:rFonts w:eastAsiaTheme="minorHAnsi"/>
          <w:lang w:eastAsia="en-US"/>
        </w:rPr>
      </w:pPr>
    </w:p>
    <w:p w:rsidR="00307A24" w:rsidRDefault="00307A24" w:rsidP="00801432">
      <w:pPr>
        <w:pStyle w:val="Numberedlist"/>
        <w:numPr>
          <w:ilvl w:val="0"/>
          <w:numId w:val="0"/>
        </w:numPr>
        <w:tabs>
          <w:tab w:val="clear" w:pos="993"/>
        </w:tabs>
        <w:rPr>
          <w:rFonts w:eastAsiaTheme="minorHAnsi"/>
          <w:b/>
          <w:lang w:eastAsia="en-US"/>
        </w:rPr>
      </w:pPr>
      <w:r w:rsidRPr="00307A24">
        <w:rPr>
          <w:rFonts w:eastAsiaTheme="minorHAnsi"/>
          <w:b/>
          <w:lang w:eastAsia="en-US"/>
        </w:rPr>
        <w:t xml:space="preserve">Coronavirus </w:t>
      </w:r>
    </w:p>
    <w:p w:rsidR="00307A24" w:rsidRDefault="00452055" w:rsidP="00433455">
      <w:pPr>
        <w:pStyle w:val="bParagraphtext"/>
        <w:rPr>
          <w:rFonts w:eastAsiaTheme="minorHAnsi"/>
          <w:lang w:eastAsia="en-US"/>
        </w:rPr>
      </w:pPr>
      <w:r w:rsidRPr="00452055">
        <w:t>The impact on the residential real estate market has been mixed. Residential development land transactions are beginning to occur, although discounts are</w:t>
      </w:r>
      <w:r w:rsidR="00EB5425">
        <w:t xml:space="preserve"> still</w:t>
      </w:r>
      <w:r w:rsidRPr="00452055">
        <w:t xml:space="preserve"> expected.</w:t>
      </w:r>
      <w:r w:rsidR="005D6973">
        <w:t xml:space="preserve"> </w:t>
      </w:r>
      <w:r>
        <w:t xml:space="preserve">Local agents continue to report high levels of demand which is supported by </w:t>
      </w:r>
      <w:r w:rsidRPr="00452055">
        <w:t>the Government’s decision to stop S</w:t>
      </w:r>
      <w:r w:rsidR="00FE7376">
        <w:t xml:space="preserve">tamp </w:t>
      </w:r>
      <w:r w:rsidRPr="00452055">
        <w:t>D</w:t>
      </w:r>
      <w:r w:rsidR="00FE7376">
        <w:t xml:space="preserve">uty </w:t>
      </w:r>
      <w:r w:rsidRPr="00452055">
        <w:t>L</w:t>
      </w:r>
      <w:r w:rsidR="00FE7376">
        <w:t xml:space="preserve">and </w:t>
      </w:r>
      <w:r w:rsidRPr="00452055">
        <w:t>T</w:t>
      </w:r>
      <w:r w:rsidR="00FE7376">
        <w:t>ax</w:t>
      </w:r>
      <w:r w:rsidRPr="00452055">
        <w:t xml:space="preserve"> on the first £500,000 for house sales until March 2021</w:t>
      </w:r>
      <w:r>
        <w:rPr>
          <w:sz w:val="20"/>
          <w:szCs w:val="20"/>
        </w:rPr>
        <w:t>.</w:t>
      </w:r>
      <w:r w:rsidR="005D6973">
        <w:rPr>
          <w:sz w:val="20"/>
          <w:szCs w:val="20"/>
        </w:rPr>
        <w:t xml:space="preserve"> </w:t>
      </w:r>
      <w:r w:rsidR="00D177AB">
        <w:t>There are widely reported fears that residential property values will fall nationall</w:t>
      </w:r>
      <w:r w:rsidR="00433455">
        <w:t xml:space="preserve">y after the </w:t>
      </w:r>
      <w:proofErr w:type="spellStart"/>
      <w:r w:rsidR="00433455">
        <w:t>SDLT</w:t>
      </w:r>
      <w:proofErr w:type="spellEnd"/>
      <w:r w:rsidR="00433455">
        <w:t xml:space="preserve"> holiday ends.</w:t>
      </w:r>
    </w:p>
    <w:p w:rsidR="00C905BB" w:rsidRDefault="00307A24" w:rsidP="00433455">
      <w:pPr>
        <w:pStyle w:val="bParagraphtex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Historically Oxford has proved to be resilient to falls in value due to high levels of latent demand</w:t>
      </w:r>
      <w:r w:rsidR="00452055">
        <w:rPr>
          <w:rFonts w:eastAsiaTheme="minorHAnsi"/>
          <w:lang w:eastAsia="en-US"/>
        </w:rPr>
        <w:t xml:space="preserve"> although with a sharp economic bounce back </w:t>
      </w:r>
      <w:r w:rsidR="00F669C6">
        <w:rPr>
          <w:rFonts w:eastAsiaTheme="minorHAnsi"/>
          <w:lang w:eastAsia="en-US"/>
        </w:rPr>
        <w:t xml:space="preserve">looking increasingly </w:t>
      </w:r>
      <w:r w:rsidR="00452055">
        <w:rPr>
          <w:rFonts w:eastAsiaTheme="minorHAnsi"/>
          <w:lang w:eastAsia="en-US"/>
        </w:rPr>
        <w:t xml:space="preserve">unlikely </w:t>
      </w:r>
      <w:r w:rsidR="00880096">
        <w:rPr>
          <w:rFonts w:eastAsiaTheme="minorHAnsi"/>
          <w:lang w:eastAsia="en-US"/>
        </w:rPr>
        <w:t>there is</w:t>
      </w:r>
      <w:r w:rsidR="00F669C6">
        <w:rPr>
          <w:rFonts w:eastAsiaTheme="minorHAnsi"/>
          <w:lang w:eastAsia="en-US"/>
        </w:rPr>
        <w:t xml:space="preserve"> added </w:t>
      </w:r>
      <w:r w:rsidR="00880096">
        <w:rPr>
          <w:rFonts w:eastAsiaTheme="minorHAnsi"/>
          <w:lang w:eastAsia="en-US"/>
        </w:rPr>
        <w:t>risk of value reduction. Mortgage providers</w:t>
      </w:r>
      <w:r w:rsidR="00F669C6">
        <w:rPr>
          <w:rFonts w:eastAsiaTheme="minorHAnsi"/>
          <w:lang w:eastAsia="en-US"/>
        </w:rPr>
        <w:t xml:space="preserve"> continue </w:t>
      </w:r>
      <w:r w:rsidR="00880096">
        <w:rPr>
          <w:rFonts w:eastAsiaTheme="minorHAnsi"/>
          <w:lang w:eastAsia="en-US"/>
        </w:rPr>
        <w:t>to tighten</w:t>
      </w:r>
      <w:r w:rsidR="00F669C6">
        <w:rPr>
          <w:rFonts w:eastAsiaTheme="minorHAnsi"/>
          <w:lang w:eastAsia="en-US"/>
        </w:rPr>
        <w:t xml:space="preserve"> </w:t>
      </w:r>
      <w:r w:rsidR="00880096">
        <w:rPr>
          <w:rFonts w:eastAsiaTheme="minorHAnsi"/>
          <w:lang w:eastAsia="en-US"/>
        </w:rPr>
        <w:t>their lending criteria which</w:t>
      </w:r>
      <w:r w:rsidR="00F669C6">
        <w:rPr>
          <w:rFonts w:eastAsiaTheme="minorHAnsi"/>
          <w:lang w:eastAsia="en-US"/>
        </w:rPr>
        <w:t xml:space="preserve"> will</w:t>
      </w:r>
      <w:r w:rsidR="00880096">
        <w:rPr>
          <w:rFonts w:eastAsiaTheme="minorHAnsi"/>
          <w:lang w:eastAsia="en-US"/>
        </w:rPr>
        <w:t xml:space="preserve"> reduce demand.</w:t>
      </w:r>
      <w:r w:rsidR="005D6973">
        <w:rPr>
          <w:rFonts w:eastAsiaTheme="minorHAnsi"/>
          <w:lang w:eastAsia="en-US"/>
        </w:rPr>
        <w:t xml:space="preserve"> </w:t>
      </w:r>
      <w:r w:rsidR="00880096">
        <w:rPr>
          <w:rFonts w:eastAsiaTheme="minorHAnsi"/>
          <w:lang w:eastAsia="en-US"/>
        </w:rPr>
        <w:t>The resilience of the Oxford market will be tested (and monitored) over the winter</w:t>
      </w:r>
      <w:r w:rsidR="00F669C6">
        <w:rPr>
          <w:rFonts w:eastAsiaTheme="minorHAnsi"/>
          <w:lang w:eastAsia="en-US"/>
        </w:rPr>
        <w:t xml:space="preserve"> and spring</w:t>
      </w:r>
      <w:r w:rsidR="00433455">
        <w:rPr>
          <w:rFonts w:eastAsiaTheme="minorHAnsi"/>
          <w:lang w:eastAsia="en-US"/>
        </w:rPr>
        <w:t xml:space="preserve"> and is depende</w:t>
      </w:r>
      <w:r w:rsidR="00880096">
        <w:rPr>
          <w:rFonts w:eastAsiaTheme="minorHAnsi"/>
          <w:lang w:eastAsia="en-US"/>
        </w:rPr>
        <w:t xml:space="preserve">nt </w:t>
      </w:r>
      <w:r w:rsidR="00EB5425">
        <w:rPr>
          <w:rFonts w:eastAsiaTheme="minorHAnsi"/>
          <w:lang w:eastAsia="en-US"/>
        </w:rPr>
        <w:t>on</w:t>
      </w:r>
      <w:r w:rsidR="00880096">
        <w:rPr>
          <w:rFonts w:eastAsiaTheme="minorHAnsi"/>
          <w:lang w:eastAsia="en-US"/>
        </w:rPr>
        <w:t xml:space="preserve"> the wider economic backdrop and the possibility of further lockdowns</w:t>
      </w:r>
      <w:r w:rsidR="00F669C6">
        <w:rPr>
          <w:rFonts w:eastAsiaTheme="minorHAnsi"/>
          <w:lang w:eastAsia="en-US"/>
        </w:rPr>
        <w:t xml:space="preserve"> after Christmas</w:t>
      </w:r>
      <w:r w:rsidR="00433455">
        <w:rPr>
          <w:rFonts w:eastAsiaTheme="minorHAnsi"/>
          <w:lang w:eastAsia="en-US"/>
        </w:rPr>
        <w:t>.</w:t>
      </w:r>
    </w:p>
    <w:p w:rsidR="00433455" w:rsidRPr="00433455" w:rsidRDefault="00433455" w:rsidP="00433455">
      <w:pPr>
        <w:pStyle w:val="bParagraphtext"/>
        <w:numPr>
          <w:ilvl w:val="0"/>
          <w:numId w:val="0"/>
        </w:numPr>
        <w:ind w:left="426"/>
        <w:rPr>
          <w:rFonts w:eastAsiaTheme="minorHAnsi"/>
          <w:lang w:eastAsia="en-US"/>
        </w:rPr>
      </w:pPr>
      <w:bookmarkStart w:id="0" w:name="_GoBack"/>
      <w:bookmarkEnd w:id="0"/>
    </w:p>
    <w:p w:rsidR="006D052F" w:rsidRDefault="0057130A" w:rsidP="00433455">
      <w:pPr>
        <w:pStyle w:val="Heading1"/>
        <w:rPr>
          <w:rFonts w:eastAsiaTheme="minorHAnsi"/>
          <w:lang w:eastAsia="en-US"/>
        </w:rPr>
      </w:pPr>
      <w:r w:rsidRPr="00575235">
        <w:rPr>
          <w:rFonts w:eastAsiaTheme="minorHAnsi"/>
          <w:lang w:eastAsia="en-US"/>
        </w:rPr>
        <w:lastRenderedPageBreak/>
        <w:t xml:space="preserve">Progress Update </w:t>
      </w:r>
    </w:p>
    <w:p w:rsidR="00CF2861" w:rsidRPr="000947DC" w:rsidRDefault="00FC269F" w:rsidP="00433455">
      <w:pPr>
        <w:pStyle w:val="Heading1"/>
        <w:rPr>
          <w:rFonts w:eastAsiaTheme="minorHAnsi"/>
          <w:lang w:eastAsia="en-US"/>
        </w:rPr>
      </w:pPr>
      <w:r w:rsidRPr="000947DC">
        <w:rPr>
          <w:rFonts w:eastAsiaTheme="minorHAnsi"/>
          <w:lang w:eastAsia="en-US"/>
        </w:rPr>
        <w:t xml:space="preserve">First Phase </w:t>
      </w:r>
    </w:p>
    <w:p w:rsidR="00801432" w:rsidRPr="00433455" w:rsidRDefault="00BE2DA6" w:rsidP="00433455">
      <w:pPr>
        <w:pStyle w:val="bParagraphtext"/>
        <w:rPr>
          <w:rFonts w:eastAsiaTheme="minorHAnsi" w:cs="Arial"/>
          <w:color w:val="auto"/>
          <w:lang w:eastAsia="en-US"/>
        </w:rPr>
      </w:pPr>
      <w:r>
        <w:rPr>
          <w:lang w:eastAsia="en-US"/>
        </w:rPr>
        <w:t>T</w:t>
      </w:r>
      <w:r w:rsidR="00D91DD2" w:rsidRPr="00C905BB">
        <w:rPr>
          <w:lang w:eastAsia="en-US"/>
        </w:rPr>
        <w:t xml:space="preserve">here have now been a total of </w:t>
      </w:r>
      <w:r w:rsidR="00DB405A">
        <w:rPr>
          <w:lang w:eastAsia="en-US"/>
        </w:rPr>
        <w:t>204</w:t>
      </w:r>
      <w:r w:rsidR="00D91DD2" w:rsidRPr="00C905BB">
        <w:rPr>
          <w:lang w:eastAsia="en-US"/>
        </w:rPr>
        <w:t xml:space="preserve"> </w:t>
      </w:r>
      <w:r w:rsidR="00D6495D">
        <w:rPr>
          <w:lang w:eastAsia="en-US"/>
        </w:rPr>
        <w:t>completions</w:t>
      </w:r>
      <w:r w:rsidR="00D91DD2" w:rsidRPr="00C905BB">
        <w:rPr>
          <w:lang w:eastAsia="en-US"/>
        </w:rPr>
        <w:t xml:space="preserve"> of which </w:t>
      </w:r>
      <w:r w:rsidR="00DB405A">
        <w:rPr>
          <w:lang w:eastAsia="en-US"/>
        </w:rPr>
        <w:t>85</w:t>
      </w:r>
      <w:r w:rsidR="00D91DD2" w:rsidRPr="00C905BB">
        <w:rPr>
          <w:lang w:eastAsia="en-US"/>
        </w:rPr>
        <w:t xml:space="preserve"> are social rented properties purchased by Oxford City Housing (Investment) Limited. </w:t>
      </w:r>
      <w:r>
        <w:rPr>
          <w:lang w:eastAsia="en-US"/>
        </w:rPr>
        <w:t xml:space="preserve">Of the remaining </w:t>
      </w:r>
      <w:r w:rsidR="00DB405A">
        <w:rPr>
          <w:lang w:eastAsia="en-US"/>
        </w:rPr>
        <w:t>33</w:t>
      </w:r>
      <w:r>
        <w:rPr>
          <w:lang w:eastAsia="en-US"/>
        </w:rPr>
        <w:t xml:space="preserve"> units, the final 9 social rented properties are due for handover in December 2020. The remaining </w:t>
      </w:r>
      <w:r w:rsidR="00DB405A">
        <w:rPr>
          <w:lang w:eastAsia="en-US"/>
        </w:rPr>
        <w:t>24</w:t>
      </w:r>
      <w:r>
        <w:rPr>
          <w:lang w:eastAsia="en-US"/>
        </w:rPr>
        <w:t xml:space="preserve"> private units </w:t>
      </w:r>
      <w:r w:rsidR="00D6495D">
        <w:rPr>
          <w:lang w:eastAsia="en-US"/>
        </w:rPr>
        <w:t>were planned for early spring / summer 2021 and an updated programme is awaited.</w:t>
      </w:r>
    </w:p>
    <w:p w:rsidR="007859F3" w:rsidRDefault="00EA1336" w:rsidP="00433455">
      <w:pPr>
        <w:pStyle w:val="Heading1"/>
        <w:rPr>
          <w:rFonts w:eastAsiaTheme="minorHAnsi"/>
          <w:lang w:eastAsia="en-US"/>
        </w:rPr>
      </w:pPr>
      <w:r w:rsidRPr="00361C76">
        <w:rPr>
          <w:rFonts w:eastAsiaTheme="minorHAnsi"/>
          <w:lang w:eastAsia="en-US"/>
        </w:rPr>
        <w:t>Second Phase</w:t>
      </w:r>
    </w:p>
    <w:p w:rsidR="00BA453E" w:rsidRPr="00433455" w:rsidRDefault="000F6C7B" w:rsidP="00433455">
      <w:pPr>
        <w:pStyle w:val="bParagraphtex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There is little further to report from the last </w:t>
      </w:r>
      <w:r w:rsidR="005C3B91">
        <w:rPr>
          <w:rFonts w:eastAsiaTheme="minorHAnsi"/>
          <w:lang w:eastAsia="en-US"/>
        </w:rPr>
        <w:t>update</w:t>
      </w:r>
      <w:r>
        <w:rPr>
          <w:rFonts w:eastAsiaTheme="minorHAnsi"/>
          <w:lang w:eastAsia="en-US"/>
        </w:rPr>
        <w:t>.</w:t>
      </w:r>
      <w:r w:rsidR="005D6973">
        <w:rPr>
          <w:rFonts w:eastAsiaTheme="minorHAnsi"/>
          <w:lang w:eastAsia="en-US"/>
        </w:rPr>
        <w:t xml:space="preserve"> </w:t>
      </w:r>
      <w:r w:rsidR="007859F3" w:rsidRPr="00C905BB">
        <w:rPr>
          <w:rFonts w:eastAsiaTheme="minorHAnsi"/>
          <w:lang w:eastAsia="en-US"/>
        </w:rPr>
        <w:t xml:space="preserve">Works continue at </w:t>
      </w:r>
      <w:r w:rsidR="00307A24" w:rsidRPr="00C905BB">
        <w:rPr>
          <w:rFonts w:eastAsiaTheme="minorHAnsi"/>
          <w:lang w:eastAsia="en-US"/>
        </w:rPr>
        <w:t>a reduced rate</w:t>
      </w:r>
      <w:r w:rsidR="007859F3" w:rsidRPr="00C905BB">
        <w:rPr>
          <w:rFonts w:eastAsiaTheme="minorHAnsi"/>
          <w:lang w:eastAsia="en-US"/>
        </w:rPr>
        <w:t>.</w:t>
      </w:r>
      <w:r w:rsidR="005D6973">
        <w:rPr>
          <w:rFonts w:eastAsiaTheme="minorHAnsi"/>
          <w:lang w:eastAsia="en-US"/>
        </w:rPr>
        <w:t xml:space="preserve"> </w:t>
      </w:r>
      <w:proofErr w:type="spellStart"/>
      <w:r w:rsidR="007859F3" w:rsidRPr="00C905BB">
        <w:rPr>
          <w:rFonts w:eastAsiaTheme="minorHAnsi"/>
          <w:lang w:eastAsia="en-US"/>
        </w:rPr>
        <w:t>R</w:t>
      </w:r>
      <w:r w:rsidR="00645BA8" w:rsidRPr="00C905BB">
        <w:rPr>
          <w:rFonts w:eastAsiaTheme="minorHAnsi"/>
          <w:lang w:eastAsia="en-US"/>
        </w:rPr>
        <w:t>edrow</w:t>
      </w:r>
      <w:proofErr w:type="spellEnd"/>
      <w:r w:rsidR="00281AAF" w:rsidRPr="00C905BB">
        <w:rPr>
          <w:rFonts w:eastAsiaTheme="minorHAnsi"/>
          <w:lang w:eastAsia="en-US"/>
        </w:rPr>
        <w:t xml:space="preserve"> </w:t>
      </w:r>
      <w:r w:rsidR="005C3B91">
        <w:rPr>
          <w:rFonts w:eastAsiaTheme="minorHAnsi"/>
          <w:lang w:eastAsia="en-US"/>
        </w:rPr>
        <w:t xml:space="preserve">have opened the show home </w:t>
      </w:r>
      <w:r w:rsidR="00F669C6">
        <w:rPr>
          <w:rFonts w:eastAsiaTheme="minorHAnsi"/>
          <w:lang w:eastAsia="en-US"/>
        </w:rPr>
        <w:t>hav</w:t>
      </w:r>
      <w:r w:rsidR="005C3B91">
        <w:rPr>
          <w:rFonts w:eastAsiaTheme="minorHAnsi"/>
          <w:lang w:eastAsia="en-US"/>
        </w:rPr>
        <w:t xml:space="preserve">ing had a </w:t>
      </w:r>
      <w:r w:rsidR="00F669C6">
        <w:rPr>
          <w:rFonts w:eastAsiaTheme="minorHAnsi"/>
          <w:lang w:eastAsia="en-US"/>
        </w:rPr>
        <w:t xml:space="preserve">temporary sales office </w:t>
      </w:r>
      <w:r w:rsidR="005C3B91">
        <w:rPr>
          <w:rFonts w:eastAsiaTheme="minorHAnsi"/>
          <w:lang w:eastAsia="en-US"/>
        </w:rPr>
        <w:t>open through autumn</w:t>
      </w:r>
      <w:r w:rsidR="00F669C6">
        <w:rPr>
          <w:rFonts w:eastAsiaTheme="minorHAnsi"/>
          <w:lang w:eastAsia="en-US"/>
        </w:rPr>
        <w:t>.</w:t>
      </w:r>
      <w:r w:rsidR="005D6973">
        <w:rPr>
          <w:rFonts w:eastAsiaTheme="minorHAnsi"/>
          <w:lang w:eastAsia="en-US"/>
        </w:rPr>
        <w:t xml:space="preserve"> </w:t>
      </w:r>
      <w:r w:rsidR="005C3B91">
        <w:rPr>
          <w:rFonts w:eastAsiaTheme="minorHAnsi"/>
          <w:lang w:eastAsia="en-US"/>
        </w:rPr>
        <w:t>C</w:t>
      </w:r>
      <w:r w:rsidR="00D91DD2" w:rsidRPr="00C905BB">
        <w:rPr>
          <w:rFonts w:eastAsiaTheme="minorHAnsi"/>
          <w:lang w:eastAsia="en-US"/>
        </w:rPr>
        <w:t>ompletion of th</w:t>
      </w:r>
      <w:r w:rsidR="00F669C6">
        <w:rPr>
          <w:rFonts w:eastAsiaTheme="minorHAnsi"/>
          <w:lang w:eastAsia="en-US"/>
        </w:rPr>
        <w:t>e first</w:t>
      </w:r>
      <w:r w:rsidR="00D91DD2" w:rsidRPr="00C905BB">
        <w:rPr>
          <w:rFonts w:eastAsiaTheme="minorHAnsi"/>
          <w:lang w:eastAsia="en-US"/>
        </w:rPr>
        <w:t xml:space="preserve"> phase of 55 units </w:t>
      </w:r>
      <w:r w:rsidR="00C905BB">
        <w:rPr>
          <w:rFonts w:eastAsiaTheme="minorHAnsi"/>
          <w:lang w:eastAsia="en-US"/>
        </w:rPr>
        <w:t>close to the school</w:t>
      </w:r>
      <w:r w:rsidR="005C3B91">
        <w:rPr>
          <w:rFonts w:eastAsiaTheme="minorHAnsi"/>
          <w:lang w:eastAsia="en-US"/>
        </w:rPr>
        <w:t xml:space="preserve"> is expected </w:t>
      </w:r>
      <w:r w:rsidR="00C905BB">
        <w:rPr>
          <w:rFonts w:eastAsiaTheme="minorHAnsi"/>
          <w:lang w:eastAsia="en-US"/>
        </w:rPr>
        <w:t>in mid</w:t>
      </w:r>
      <w:r w:rsidR="00DB405A">
        <w:rPr>
          <w:rFonts w:eastAsiaTheme="minorHAnsi"/>
          <w:lang w:eastAsia="en-US"/>
        </w:rPr>
        <w:t xml:space="preserve"> - </w:t>
      </w:r>
      <w:r w:rsidR="00C905BB">
        <w:rPr>
          <w:rFonts w:eastAsiaTheme="minorHAnsi"/>
          <w:lang w:eastAsia="en-US"/>
        </w:rPr>
        <w:t>2021</w:t>
      </w:r>
      <w:r w:rsidR="0059368E" w:rsidRPr="00C905BB">
        <w:rPr>
          <w:rFonts w:eastAsiaTheme="minorHAnsi"/>
          <w:lang w:eastAsia="en-US"/>
        </w:rPr>
        <w:t>.</w:t>
      </w:r>
    </w:p>
    <w:p w:rsidR="00BA453E" w:rsidRPr="00575235" w:rsidRDefault="00BA453E" w:rsidP="00433455">
      <w:pPr>
        <w:pStyle w:val="Heading1"/>
        <w:rPr>
          <w:rFonts w:eastAsiaTheme="minorHAnsi"/>
          <w:lang w:eastAsia="en-US"/>
        </w:rPr>
      </w:pPr>
      <w:r w:rsidRPr="00575235">
        <w:rPr>
          <w:rFonts w:eastAsiaTheme="minorHAnsi"/>
          <w:lang w:eastAsia="en-US"/>
        </w:rPr>
        <w:t xml:space="preserve">Future Phases </w:t>
      </w:r>
    </w:p>
    <w:p w:rsidR="00203C5C" w:rsidRPr="00433455" w:rsidRDefault="00E34794" w:rsidP="00433455">
      <w:pPr>
        <w:pStyle w:val="bParagraphtext"/>
        <w:rPr>
          <w:rFonts w:eastAsiaTheme="minorHAnsi"/>
          <w:lang w:eastAsia="en-US"/>
        </w:rPr>
      </w:pPr>
      <w:r w:rsidRPr="00C905BB">
        <w:rPr>
          <w:rFonts w:eastAsiaTheme="minorHAnsi"/>
          <w:lang w:eastAsia="en-US"/>
        </w:rPr>
        <w:t>Delivery of f</w:t>
      </w:r>
      <w:r w:rsidR="00BA453E" w:rsidRPr="00C905BB">
        <w:rPr>
          <w:rFonts w:eastAsiaTheme="minorHAnsi"/>
          <w:lang w:eastAsia="en-US"/>
        </w:rPr>
        <w:t>urther</w:t>
      </w:r>
      <w:r w:rsidRPr="00C905BB">
        <w:rPr>
          <w:rFonts w:eastAsiaTheme="minorHAnsi"/>
          <w:lang w:eastAsia="en-US"/>
        </w:rPr>
        <w:t xml:space="preserve"> phases involves sale</w:t>
      </w:r>
      <w:r w:rsidR="00A423BF" w:rsidRPr="00C905BB">
        <w:rPr>
          <w:rFonts w:eastAsiaTheme="minorHAnsi"/>
          <w:lang w:eastAsia="en-US"/>
        </w:rPr>
        <w:t>s and marketing of land parcels</w:t>
      </w:r>
      <w:r w:rsidRPr="00C905BB">
        <w:rPr>
          <w:rFonts w:eastAsiaTheme="minorHAnsi"/>
          <w:lang w:eastAsia="en-US"/>
        </w:rPr>
        <w:t>, the information is commercially sensitive and further details</w:t>
      </w:r>
      <w:r w:rsidR="00BA453E" w:rsidRPr="00C905BB">
        <w:rPr>
          <w:rFonts w:eastAsiaTheme="minorHAnsi"/>
          <w:lang w:eastAsia="en-US"/>
        </w:rPr>
        <w:t xml:space="preserve"> are contained in t</w:t>
      </w:r>
      <w:r w:rsidR="007367F6" w:rsidRPr="00C905BB">
        <w:rPr>
          <w:rFonts w:eastAsiaTheme="minorHAnsi"/>
          <w:lang w:eastAsia="en-US"/>
        </w:rPr>
        <w:t>he not for publication appendix</w:t>
      </w:r>
      <w:r w:rsidR="00BA453E" w:rsidRPr="00C905BB">
        <w:rPr>
          <w:rFonts w:eastAsiaTheme="minorHAnsi"/>
          <w:lang w:eastAsia="en-US"/>
        </w:rPr>
        <w:t>.</w:t>
      </w:r>
    </w:p>
    <w:p w:rsidR="00203C5C" w:rsidRPr="00203C5C" w:rsidRDefault="00203C5C" w:rsidP="00433455">
      <w:pPr>
        <w:pStyle w:val="Heading1"/>
        <w:rPr>
          <w:rFonts w:eastAsiaTheme="minorHAnsi"/>
          <w:lang w:eastAsia="en-US"/>
        </w:rPr>
      </w:pPr>
      <w:r w:rsidRPr="00203C5C">
        <w:rPr>
          <w:rFonts w:eastAsiaTheme="minorHAnsi"/>
          <w:lang w:eastAsia="en-US"/>
        </w:rPr>
        <w:t>The Pavilion</w:t>
      </w:r>
    </w:p>
    <w:p w:rsidR="005B757B" w:rsidRPr="00433455" w:rsidRDefault="005B757B" w:rsidP="00433455">
      <w:pPr>
        <w:pStyle w:val="bParagraphtext"/>
        <w:rPr>
          <w:rFonts w:eastAsiaTheme="minorHAnsi" w:cs="Arial"/>
          <w:color w:val="auto"/>
          <w:lang w:eastAsia="en-US"/>
        </w:rPr>
      </w:pPr>
      <w:r w:rsidRPr="005D6973">
        <w:rPr>
          <w:rFonts w:eastAsiaTheme="minorHAnsi"/>
          <w:lang w:eastAsia="en-US"/>
        </w:rPr>
        <w:t xml:space="preserve">All legal documentation between The Council and BOLLP </w:t>
      </w:r>
      <w:r w:rsidR="005D6973" w:rsidRPr="005D6973">
        <w:rPr>
          <w:rFonts w:eastAsiaTheme="minorHAnsi"/>
          <w:lang w:eastAsia="en-US"/>
        </w:rPr>
        <w:t xml:space="preserve">has </w:t>
      </w:r>
      <w:r w:rsidRPr="005D6973">
        <w:rPr>
          <w:rFonts w:eastAsiaTheme="minorHAnsi"/>
          <w:lang w:eastAsia="en-US"/>
        </w:rPr>
        <w:t>been agreed and the freehold sale of the pavilion is ready to complete.</w:t>
      </w:r>
      <w:r w:rsidR="005D6973" w:rsidRPr="005D6973">
        <w:rPr>
          <w:rFonts w:eastAsiaTheme="minorHAnsi"/>
          <w:lang w:eastAsia="en-US"/>
        </w:rPr>
        <w:t xml:space="preserve"> </w:t>
      </w:r>
      <w:r w:rsidRPr="005D6973">
        <w:rPr>
          <w:rFonts w:eastAsiaTheme="minorHAnsi"/>
          <w:lang w:eastAsia="en-US"/>
        </w:rPr>
        <w:t>Authority is required from County</w:t>
      </w:r>
      <w:r w:rsidRPr="00801432">
        <w:rPr>
          <w:rFonts w:eastAsiaTheme="minorHAnsi" w:cs="Arial"/>
          <w:color w:val="auto"/>
          <w:lang w:eastAsia="en-US"/>
        </w:rPr>
        <w:t xml:space="preserve"> and is anticipated shortly</w:t>
      </w:r>
      <w:r w:rsidR="00C217FB">
        <w:rPr>
          <w:rFonts w:eastAsiaTheme="minorHAnsi" w:cs="Arial"/>
          <w:color w:val="auto"/>
          <w:lang w:eastAsia="en-US"/>
        </w:rPr>
        <w:t xml:space="preserve"> (this derives from the s106 agreement). </w:t>
      </w:r>
      <w:r w:rsidRPr="00801432">
        <w:rPr>
          <w:rFonts w:eastAsiaTheme="minorHAnsi" w:cs="Arial"/>
          <w:color w:val="auto"/>
          <w:lang w:eastAsia="en-US"/>
        </w:rPr>
        <w:t xml:space="preserve"> </w:t>
      </w:r>
      <w:r w:rsidR="005D6973" w:rsidRPr="00801432">
        <w:rPr>
          <w:rFonts w:cs="Arial"/>
          <w:color w:val="auto"/>
        </w:rPr>
        <w:t>Once the transfer is completed, Management of the Sports facilities including the pavilion will be formally handed over to the City Council.</w:t>
      </w:r>
    </w:p>
    <w:p w:rsidR="00FB7646" w:rsidRPr="00433455" w:rsidRDefault="00FB7646" w:rsidP="00433455">
      <w:pPr>
        <w:pStyle w:val="Heading1"/>
        <w:rPr>
          <w:rFonts w:eastAsiaTheme="minorHAnsi"/>
          <w:lang w:eastAsia="en-US"/>
        </w:rPr>
      </w:pPr>
      <w:r w:rsidRPr="00FB7646">
        <w:rPr>
          <w:rFonts w:eastAsiaTheme="minorHAnsi"/>
          <w:lang w:eastAsia="en-US"/>
        </w:rPr>
        <w:t>The School</w:t>
      </w:r>
      <w:r w:rsidR="005C3B91">
        <w:rPr>
          <w:rFonts w:eastAsiaTheme="minorHAnsi"/>
          <w:lang w:eastAsia="en-US"/>
        </w:rPr>
        <w:t>/Community facilities</w:t>
      </w:r>
    </w:p>
    <w:p w:rsidR="00BB5DBA" w:rsidRDefault="00BB5DBA" w:rsidP="00433455">
      <w:pPr>
        <w:pStyle w:val="bParagraphtext"/>
        <w:rPr>
          <w:sz w:val="20"/>
          <w:szCs w:val="20"/>
        </w:rPr>
      </w:pPr>
      <w:r w:rsidRPr="00801432">
        <w:t xml:space="preserve">The school opened its door to pupils for the 2020 academic year on the 3rd of September and is operating successfully. </w:t>
      </w:r>
    </w:p>
    <w:p w:rsidR="00203C5C" w:rsidRPr="00433455" w:rsidRDefault="005A34C6" w:rsidP="00433455">
      <w:pPr>
        <w:autoSpaceDE w:val="0"/>
        <w:autoSpaceDN w:val="0"/>
        <w:adjustRightInd w:val="0"/>
        <w:spacing w:after="0"/>
        <w:ind w:left="567"/>
        <w:rPr>
          <w:rFonts w:eastAsiaTheme="minorHAnsi"/>
          <w:lang w:eastAsia="en-US"/>
        </w:rPr>
      </w:pPr>
      <w:r>
        <w:t xml:space="preserve">Booking of the </w:t>
      </w:r>
      <w:r w:rsidR="005C3B91">
        <w:t xml:space="preserve">community facilities and </w:t>
      </w:r>
      <w:r>
        <w:t>pitch is by an online platform run by the school.</w:t>
      </w:r>
    </w:p>
    <w:p w:rsidR="00203C5C" w:rsidRPr="00203C5C" w:rsidRDefault="00203C5C" w:rsidP="00433455">
      <w:pPr>
        <w:pStyle w:val="Heading1"/>
        <w:rPr>
          <w:rFonts w:eastAsiaTheme="minorHAnsi"/>
          <w:lang w:eastAsia="en-US"/>
        </w:rPr>
      </w:pPr>
      <w:r w:rsidRPr="00203C5C">
        <w:rPr>
          <w:rFonts w:eastAsiaTheme="minorHAnsi"/>
          <w:lang w:eastAsia="en-US"/>
        </w:rPr>
        <w:t>The bus link</w:t>
      </w:r>
      <w:r w:rsidR="005A34C6">
        <w:rPr>
          <w:rFonts w:eastAsiaTheme="minorHAnsi"/>
          <w:lang w:eastAsia="en-US"/>
        </w:rPr>
        <w:t xml:space="preserve"> </w:t>
      </w:r>
    </w:p>
    <w:p w:rsidR="00203C5C" w:rsidRPr="00433455" w:rsidRDefault="00020C83" w:rsidP="00433455">
      <w:pPr>
        <w:pStyle w:val="bParagraphtext"/>
      </w:pPr>
      <w:r>
        <w:t>County have confirmed that the permanent bus services will begin on 3</w:t>
      </w:r>
      <w:r w:rsidRPr="00BB5DBA">
        <w:rPr>
          <w:vertAlign w:val="superscript"/>
        </w:rPr>
        <w:t>rd</w:t>
      </w:r>
      <w:r>
        <w:t xml:space="preserve"> </w:t>
      </w:r>
      <w:r w:rsidR="005C3B91">
        <w:t xml:space="preserve">   </w:t>
      </w:r>
      <w:r>
        <w:t>January when the existing service will cease.</w:t>
      </w:r>
      <w:r w:rsidRPr="00BB5DBA">
        <w:t xml:space="preserve"> The service will be numbered X3 and the complete route will be: Barton - Barton Park - John Radcliffe - Oxford City Centre - Abingdon, running up to every twenty minutes, daily. In addition, a further service run by Stagecoach will start from the same date.  This will be numbered H5 and the its route will be: </w:t>
      </w:r>
      <w:proofErr w:type="spellStart"/>
      <w:r w:rsidRPr="00BB5DBA">
        <w:t>Headington</w:t>
      </w:r>
      <w:proofErr w:type="spellEnd"/>
      <w:r w:rsidRPr="00BB5DBA">
        <w:t xml:space="preserve"> - John Radcliffe - Barton Park - Barton - Islip - </w:t>
      </w:r>
      <w:proofErr w:type="spellStart"/>
      <w:r w:rsidRPr="00BB5DBA">
        <w:t>Ambrosden</w:t>
      </w:r>
      <w:proofErr w:type="spellEnd"/>
      <w:r w:rsidRPr="00BB5DBA">
        <w:t xml:space="preserve"> - Bicester, running broadly hourly Monday to Saturday</w:t>
      </w:r>
      <w:r w:rsidR="00D11141" w:rsidRPr="00BB5DBA">
        <w:t>.</w:t>
      </w:r>
    </w:p>
    <w:p w:rsidR="00203C5C" w:rsidRPr="00A10491" w:rsidRDefault="00C905BB" w:rsidP="00433455">
      <w:pPr>
        <w:pStyle w:val="Heading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</w:t>
      </w:r>
      <w:r w:rsidR="00203C5C" w:rsidRPr="00A10491">
        <w:rPr>
          <w:rFonts w:eastAsiaTheme="minorHAnsi"/>
          <w:lang w:eastAsia="en-US"/>
        </w:rPr>
        <w:t xml:space="preserve">inancial Implications </w:t>
      </w:r>
    </w:p>
    <w:p w:rsidR="0041652A" w:rsidRPr="00433455" w:rsidRDefault="00477BE1" w:rsidP="00433455">
      <w:pPr>
        <w:pStyle w:val="bParagraphtext"/>
        <w:rPr>
          <w:rFonts w:eastAsiaTheme="minorHAnsi"/>
          <w:lang w:eastAsia="en-US"/>
        </w:rPr>
      </w:pPr>
      <w:r w:rsidRPr="00A10491">
        <w:rPr>
          <w:rFonts w:eastAsiaTheme="minorHAnsi"/>
          <w:lang w:eastAsia="en-US"/>
        </w:rPr>
        <w:t>There are no financial implications arising directly from this report.</w:t>
      </w:r>
    </w:p>
    <w:p w:rsidR="0041652A" w:rsidRPr="00A10491" w:rsidRDefault="00477BE1" w:rsidP="00433455">
      <w:pPr>
        <w:pStyle w:val="Heading1"/>
        <w:rPr>
          <w:rFonts w:eastAsiaTheme="minorHAnsi"/>
          <w:lang w:eastAsia="en-US"/>
        </w:rPr>
      </w:pPr>
      <w:r w:rsidRPr="00A10491">
        <w:rPr>
          <w:rFonts w:eastAsiaTheme="minorHAnsi"/>
          <w:lang w:eastAsia="en-US"/>
        </w:rPr>
        <w:t>Legal</w:t>
      </w:r>
      <w:r w:rsidR="0041652A" w:rsidRPr="00A10491">
        <w:rPr>
          <w:rFonts w:eastAsiaTheme="minorHAnsi"/>
          <w:lang w:eastAsia="en-US"/>
        </w:rPr>
        <w:t xml:space="preserve"> Implications </w:t>
      </w:r>
    </w:p>
    <w:p w:rsidR="0041652A" w:rsidRDefault="0041652A" w:rsidP="00433455">
      <w:pPr>
        <w:pStyle w:val="bParagraphtext"/>
        <w:rPr>
          <w:rFonts w:eastAsiaTheme="minorHAnsi"/>
          <w:lang w:eastAsia="en-US"/>
        </w:rPr>
      </w:pPr>
      <w:r w:rsidRPr="00A10491">
        <w:rPr>
          <w:rFonts w:eastAsiaTheme="minorHAnsi"/>
          <w:lang w:eastAsia="en-US"/>
        </w:rPr>
        <w:t xml:space="preserve">There are no </w:t>
      </w:r>
      <w:r w:rsidR="00477BE1" w:rsidRPr="00A10491">
        <w:rPr>
          <w:rFonts w:eastAsiaTheme="minorHAnsi"/>
          <w:lang w:eastAsia="en-US"/>
        </w:rPr>
        <w:t>legal implications arising directly from this report.</w:t>
      </w:r>
    </w:p>
    <w:p w:rsidR="00F524C3" w:rsidRPr="00F524C3" w:rsidRDefault="00F524C3" w:rsidP="00801432">
      <w:pPr>
        <w:spacing w:after="0"/>
        <w:ind w:right="-29"/>
        <w:jc w:val="both"/>
        <w:rPr>
          <w:rFonts w:eastAsiaTheme="minorHAnsi" w:cs="Arial"/>
          <w:color w:val="auto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878"/>
        <w:gridCol w:w="4896"/>
      </w:tblGrid>
      <w:tr w:rsidR="00DF093E" w:rsidRPr="00575235" w:rsidTr="00F524C3">
        <w:trPr>
          <w:cantSplit/>
          <w:trHeight w:val="39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575235" w:rsidRDefault="00E87F7A" w:rsidP="00801432">
            <w:pPr>
              <w:tabs>
                <w:tab w:val="left" w:pos="8647"/>
              </w:tabs>
              <w:spacing w:after="0"/>
              <w:ind w:right="1076"/>
              <w:rPr>
                <w:rFonts w:cs="Arial"/>
                <w:b/>
              </w:rPr>
            </w:pPr>
            <w:r w:rsidRPr="00575235">
              <w:rPr>
                <w:rFonts w:cs="Arial"/>
                <w:b/>
              </w:rPr>
              <w:t>Report author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575235" w:rsidRDefault="00922669" w:rsidP="00801432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>Jane Winfield</w:t>
            </w:r>
          </w:p>
        </w:tc>
      </w:tr>
      <w:tr w:rsidR="0041652A" w:rsidRPr="00575235" w:rsidTr="00F524C3">
        <w:trPr>
          <w:cantSplit/>
          <w:trHeight w:val="71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1652A" w:rsidRDefault="0041652A" w:rsidP="00F524C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  <w:p w:rsidR="0041652A" w:rsidRPr="00575235" w:rsidRDefault="0041652A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  <w:b/>
              </w:rPr>
            </w:pP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52A" w:rsidRPr="00575235" w:rsidRDefault="0041652A" w:rsidP="00F524C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Regeneration and Major Projects Service Manager</w:t>
            </w:r>
          </w:p>
        </w:tc>
      </w:tr>
      <w:tr w:rsidR="00F524C3" w:rsidRPr="00575235" w:rsidTr="00F524C3">
        <w:trPr>
          <w:cantSplit/>
          <w:trHeight w:val="440"/>
        </w:trPr>
        <w:tc>
          <w:tcPr>
            <w:tcW w:w="3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524C3" w:rsidRDefault="00F524C3" w:rsidP="00F524C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Service area or department</w:t>
            </w:r>
          </w:p>
          <w:p w:rsidR="00F524C3" w:rsidRDefault="00F524C3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524C3" w:rsidRDefault="00F524C3" w:rsidP="00F524C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Regeneration and Major Projects</w:t>
            </w:r>
          </w:p>
          <w:p w:rsidR="00F524C3" w:rsidRDefault="00F524C3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</w:p>
        </w:tc>
      </w:tr>
      <w:tr w:rsidR="00F524C3" w:rsidRPr="00575235" w:rsidTr="00F524C3">
        <w:trPr>
          <w:cantSplit/>
          <w:trHeight w:val="480"/>
        </w:trPr>
        <w:tc>
          <w:tcPr>
            <w:tcW w:w="3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524C3" w:rsidRDefault="00F524C3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 xml:space="preserve">Telephone 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24C3" w:rsidRDefault="00F524C3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>01865 252551</w:t>
            </w:r>
          </w:p>
        </w:tc>
      </w:tr>
      <w:tr w:rsidR="0041652A" w:rsidRPr="00575235" w:rsidTr="00F524C3">
        <w:trPr>
          <w:cantSplit/>
          <w:trHeight w:val="39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1652A" w:rsidRPr="00575235" w:rsidRDefault="0041652A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 xml:space="preserve">e-mail 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52A" w:rsidRPr="00575235" w:rsidRDefault="00433455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hyperlink r:id="rId8" w:history="1">
              <w:r w:rsidR="0041652A" w:rsidRPr="005873B3">
                <w:rPr>
                  <w:rStyle w:val="Hyperlink"/>
                  <w:rFonts w:cs="Arial"/>
                </w:rPr>
                <w:t>jwinfield@oxford.gov.uk</w:t>
              </w:r>
            </w:hyperlink>
            <w:r w:rsidR="0041652A">
              <w:rPr>
                <w:rStyle w:val="Hyperlink"/>
                <w:rFonts w:cs="Arial"/>
                <w:color w:val="000000"/>
              </w:rPr>
              <w:t xml:space="preserve">  </w:t>
            </w:r>
          </w:p>
        </w:tc>
      </w:tr>
    </w:tbl>
    <w:p w:rsidR="00D81CEF" w:rsidRDefault="00D81CEF" w:rsidP="00F524C3">
      <w:pPr>
        <w:tabs>
          <w:tab w:val="left" w:pos="8647"/>
        </w:tabs>
        <w:spacing w:after="0"/>
        <w:ind w:right="1076"/>
        <w:rPr>
          <w:rFonts w:cs="Arial"/>
        </w:rPr>
      </w:pPr>
    </w:p>
    <w:p w:rsidR="00D81CEF" w:rsidRDefault="00D81CEF">
      <w:pPr>
        <w:spacing w:after="0"/>
        <w:rPr>
          <w:rFonts w:cs="Arial"/>
        </w:rPr>
      </w:pPr>
    </w:p>
    <w:sectPr w:rsidR="00D81CEF" w:rsidSect="00D81CE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304" w:left="130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98" w:rsidRDefault="00857898" w:rsidP="004A6D2F">
      <w:r>
        <w:separator/>
      </w:r>
    </w:p>
  </w:endnote>
  <w:endnote w:type="continuationSeparator" w:id="0">
    <w:p w:rsidR="00857898" w:rsidRDefault="00857898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98" w:rsidRDefault="00707C98" w:rsidP="004A6D2F">
    <w:pPr>
      <w:pStyle w:val="Footer"/>
    </w:pPr>
    <w:r>
      <w:t>Do not use a footer or page numbers.</w:t>
    </w:r>
  </w:p>
  <w:p w:rsidR="00707C98" w:rsidRDefault="00707C98" w:rsidP="004A6D2F">
    <w:pPr>
      <w:pStyle w:val="Footer"/>
    </w:pPr>
  </w:p>
  <w:p w:rsidR="00707C98" w:rsidRDefault="00707C98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10" w:rsidRDefault="00702F10">
    <w:pPr>
      <w:pStyle w:val="Footer"/>
      <w:jc w:val="right"/>
    </w:pPr>
  </w:p>
  <w:p w:rsidR="00702F10" w:rsidRDefault="00702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98" w:rsidRDefault="00707C98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98" w:rsidRDefault="00857898" w:rsidP="004A6D2F">
      <w:r>
        <w:separator/>
      </w:r>
    </w:p>
  </w:footnote>
  <w:footnote w:type="continuationSeparator" w:id="0">
    <w:p w:rsidR="00857898" w:rsidRDefault="00857898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EF" w:rsidRDefault="00D81CEF" w:rsidP="00D81CE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98" w:rsidRDefault="00707C98" w:rsidP="00D5547E">
    <w:pPr>
      <w:pStyle w:val="Header"/>
      <w:jc w:val="right"/>
    </w:pPr>
    <w:r>
      <w:rPr>
        <w:noProof/>
      </w:rPr>
      <w:drawing>
        <wp:inline distT="0" distB="0" distL="0" distR="0" wp14:anchorId="0372C30F" wp14:editId="64B1C80D">
          <wp:extent cx="841375" cy="1116965"/>
          <wp:effectExtent l="0" t="0" r="0" b="6985"/>
          <wp:docPr id="3" name="Picture 3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4C3" w:rsidRDefault="00F524C3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DA0"/>
    <w:multiLevelType w:val="hybridMultilevel"/>
    <w:tmpl w:val="CEE22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E3847"/>
    <w:multiLevelType w:val="hybridMultilevel"/>
    <w:tmpl w:val="0B8A21DA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243B"/>
    <w:multiLevelType w:val="hybridMultilevel"/>
    <w:tmpl w:val="F1B67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F5D71"/>
    <w:multiLevelType w:val="hybridMultilevel"/>
    <w:tmpl w:val="789C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B474D"/>
    <w:multiLevelType w:val="hybridMultilevel"/>
    <w:tmpl w:val="6D061BB8"/>
    <w:lvl w:ilvl="0" w:tplc="2188A6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9C700E"/>
    <w:multiLevelType w:val="hybridMultilevel"/>
    <w:tmpl w:val="5422EF3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19DD"/>
    <w:multiLevelType w:val="hybridMultilevel"/>
    <w:tmpl w:val="02EC6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852AD"/>
    <w:multiLevelType w:val="hybridMultilevel"/>
    <w:tmpl w:val="0DF26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437DD"/>
    <w:multiLevelType w:val="hybridMultilevel"/>
    <w:tmpl w:val="05E20304"/>
    <w:lvl w:ilvl="0" w:tplc="DACAF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03460"/>
    <w:multiLevelType w:val="hybridMultilevel"/>
    <w:tmpl w:val="5498AF04"/>
    <w:lvl w:ilvl="0" w:tplc="E3BC62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F3F38"/>
    <w:multiLevelType w:val="hybridMultilevel"/>
    <w:tmpl w:val="1F8CA2CE"/>
    <w:lvl w:ilvl="0" w:tplc="2188A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0865AB0"/>
    <w:multiLevelType w:val="hybridMultilevel"/>
    <w:tmpl w:val="D9EC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A8089F"/>
    <w:multiLevelType w:val="hybridMultilevel"/>
    <w:tmpl w:val="DC74F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A026D"/>
    <w:multiLevelType w:val="hybridMultilevel"/>
    <w:tmpl w:val="91A86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B90C56"/>
    <w:multiLevelType w:val="hybridMultilevel"/>
    <w:tmpl w:val="284AE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885640"/>
    <w:multiLevelType w:val="hybridMultilevel"/>
    <w:tmpl w:val="3CC82AD6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00649B"/>
    <w:multiLevelType w:val="hybridMultilevel"/>
    <w:tmpl w:val="ABDE1052"/>
    <w:lvl w:ilvl="0" w:tplc="2188A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108E2"/>
    <w:multiLevelType w:val="hybridMultilevel"/>
    <w:tmpl w:val="77324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0B6F84"/>
    <w:multiLevelType w:val="multilevel"/>
    <w:tmpl w:val="0B8EC84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DB35AFD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</w:abstractNum>
  <w:abstractNum w:abstractNumId="23" w15:restartNumberingAfterBreak="0">
    <w:nsid w:val="32633D89"/>
    <w:multiLevelType w:val="hybridMultilevel"/>
    <w:tmpl w:val="C6F43576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A90201"/>
    <w:multiLevelType w:val="hybridMultilevel"/>
    <w:tmpl w:val="CFC44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45839"/>
    <w:multiLevelType w:val="hybridMultilevel"/>
    <w:tmpl w:val="14CC1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17398E"/>
    <w:multiLevelType w:val="hybridMultilevel"/>
    <w:tmpl w:val="76BEF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0933F0"/>
    <w:multiLevelType w:val="hybridMultilevel"/>
    <w:tmpl w:val="1FC2B90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E7BBE"/>
    <w:multiLevelType w:val="hybridMultilevel"/>
    <w:tmpl w:val="A7027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65382"/>
    <w:multiLevelType w:val="hybridMultilevel"/>
    <w:tmpl w:val="C164D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F25ED2"/>
    <w:multiLevelType w:val="hybridMultilevel"/>
    <w:tmpl w:val="BB0C56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3EB1AFC"/>
    <w:multiLevelType w:val="hybridMultilevel"/>
    <w:tmpl w:val="CD98E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4973C6"/>
    <w:multiLevelType w:val="multilevel"/>
    <w:tmpl w:val="81EA6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A4559"/>
    <w:multiLevelType w:val="hybridMultilevel"/>
    <w:tmpl w:val="5CEE8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9F5069"/>
    <w:multiLevelType w:val="hybridMultilevel"/>
    <w:tmpl w:val="D51E8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9F2B3C"/>
    <w:multiLevelType w:val="multilevel"/>
    <w:tmpl w:val="5A165E82"/>
    <w:lvl w:ilvl="0">
      <w:start w:val="1"/>
      <w:numFmt w:val="decimal"/>
      <w:pStyle w:val="Numberedlist"/>
      <w:lvlText w:val="%1."/>
      <w:lvlJc w:val="left"/>
      <w:pPr>
        <w:ind w:left="-129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2."/>
      <w:lvlJc w:val="left"/>
      <w:pPr>
        <w:ind w:left="5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11" w:hanging="180"/>
      </w:pPr>
    </w:lvl>
    <w:lvl w:ilvl="3">
      <w:start w:val="1"/>
      <w:numFmt w:val="decimal"/>
      <w:lvlText w:val="%4."/>
      <w:lvlJc w:val="left"/>
      <w:pPr>
        <w:ind w:left="2031" w:hanging="360"/>
      </w:pPr>
    </w:lvl>
    <w:lvl w:ilvl="4">
      <w:start w:val="1"/>
      <w:numFmt w:val="lowerLetter"/>
      <w:lvlText w:val="%5."/>
      <w:lvlJc w:val="left"/>
      <w:pPr>
        <w:ind w:left="2751" w:hanging="360"/>
      </w:pPr>
    </w:lvl>
    <w:lvl w:ilvl="5">
      <w:start w:val="1"/>
      <w:numFmt w:val="lowerRoman"/>
      <w:lvlText w:val="%6."/>
      <w:lvlJc w:val="right"/>
      <w:pPr>
        <w:ind w:left="3471" w:hanging="180"/>
      </w:pPr>
    </w:lvl>
    <w:lvl w:ilvl="6">
      <w:start w:val="1"/>
      <w:numFmt w:val="decimal"/>
      <w:lvlText w:val="%7."/>
      <w:lvlJc w:val="left"/>
      <w:pPr>
        <w:ind w:left="4191" w:hanging="360"/>
      </w:pPr>
    </w:lvl>
    <w:lvl w:ilvl="7">
      <w:start w:val="1"/>
      <w:numFmt w:val="lowerLetter"/>
      <w:lvlText w:val="%8."/>
      <w:lvlJc w:val="left"/>
      <w:pPr>
        <w:ind w:left="4911" w:hanging="360"/>
      </w:pPr>
    </w:lvl>
    <w:lvl w:ilvl="8">
      <w:start w:val="1"/>
      <w:numFmt w:val="lowerRoman"/>
      <w:lvlText w:val="%9."/>
      <w:lvlJc w:val="right"/>
      <w:pPr>
        <w:ind w:left="5631" w:hanging="180"/>
      </w:pPr>
    </w:lvl>
  </w:abstractNum>
  <w:abstractNum w:abstractNumId="36" w15:restartNumberingAfterBreak="0">
    <w:nsid w:val="73863F50"/>
    <w:multiLevelType w:val="hybridMultilevel"/>
    <w:tmpl w:val="04DA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D301B"/>
    <w:multiLevelType w:val="hybridMultilevel"/>
    <w:tmpl w:val="4DC2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70134"/>
    <w:multiLevelType w:val="hybridMultilevel"/>
    <w:tmpl w:val="61462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CB13D5"/>
    <w:multiLevelType w:val="hybridMultilevel"/>
    <w:tmpl w:val="18980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8365C6"/>
    <w:multiLevelType w:val="multilevel"/>
    <w:tmpl w:val="E67CE66C"/>
    <w:numStyleLink w:val="StyleNumberedLeft0cmHanging075cm"/>
  </w:abstractNum>
  <w:abstractNum w:abstractNumId="41" w15:restartNumberingAfterBreak="0">
    <w:nsid w:val="79DC3607"/>
    <w:multiLevelType w:val="hybridMultilevel"/>
    <w:tmpl w:val="93C44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1353DE"/>
    <w:multiLevelType w:val="hybridMultilevel"/>
    <w:tmpl w:val="5A88A6AE"/>
    <w:lvl w:ilvl="0" w:tplc="2188A6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B5D69"/>
    <w:multiLevelType w:val="hybridMultilevel"/>
    <w:tmpl w:val="E3829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52229"/>
    <w:multiLevelType w:val="hybridMultilevel"/>
    <w:tmpl w:val="575E0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EA01EC"/>
    <w:multiLevelType w:val="hybridMultilevel"/>
    <w:tmpl w:val="E0D28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0"/>
  </w:num>
  <w:num w:numId="3">
    <w:abstractNumId w:val="14"/>
  </w:num>
  <w:num w:numId="4">
    <w:abstractNumId w:val="3"/>
  </w:num>
  <w:num w:numId="5">
    <w:abstractNumId w:val="35"/>
  </w:num>
  <w:num w:numId="6">
    <w:abstractNumId w:val="22"/>
  </w:num>
  <w:num w:numId="7">
    <w:abstractNumId w:val="20"/>
  </w:num>
  <w:num w:numId="8">
    <w:abstractNumId w:val="44"/>
  </w:num>
  <w:num w:numId="9">
    <w:abstractNumId w:val="31"/>
  </w:num>
  <w:num w:numId="10">
    <w:abstractNumId w:val="17"/>
  </w:num>
  <w:num w:numId="11">
    <w:abstractNumId w:val="0"/>
  </w:num>
  <w:num w:numId="12">
    <w:abstractNumId w:val="33"/>
  </w:num>
  <w:num w:numId="13">
    <w:abstractNumId w:val="22"/>
    <w:lvlOverride w:ilvl="0">
      <w:startOverride w:val="1"/>
    </w:lvlOverride>
  </w:num>
  <w:num w:numId="14">
    <w:abstractNumId w:val="26"/>
  </w:num>
  <w:num w:numId="15">
    <w:abstractNumId w:val="45"/>
  </w:num>
  <w:num w:numId="16">
    <w:abstractNumId w:val="13"/>
  </w:num>
  <w:num w:numId="17">
    <w:abstractNumId w:val="37"/>
  </w:num>
  <w:num w:numId="18">
    <w:abstractNumId w:val="36"/>
  </w:num>
  <w:num w:numId="19">
    <w:abstractNumId w:val="8"/>
  </w:num>
  <w:num w:numId="20">
    <w:abstractNumId w:val="4"/>
  </w:num>
  <w:num w:numId="21">
    <w:abstractNumId w:val="34"/>
  </w:num>
  <w:num w:numId="22">
    <w:abstractNumId w:val="25"/>
  </w:num>
  <w:num w:numId="23">
    <w:abstractNumId w:val="5"/>
  </w:num>
  <w:num w:numId="24">
    <w:abstractNumId w:val="41"/>
  </w:num>
  <w:num w:numId="25">
    <w:abstractNumId w:val="39"/>
  </w:num>
  <w:num w:numId="26">
    <w:abstractNumId w:val="16"/>
  </w:num>
  <w:num w:numId="27">
    <w:abstractNumId w:val="29"/>
  </w:num>
  <w:num w:numId="28">
    <w:abstractNumId w:val="9"/>
  </w:num>
  <w:num w:numId="29">
    <w:abstractNumId w:val="38"/>
  </w:num>
  <w:num w:numId="30">
    <w:abstractNumId w:val="15"/>
  </w:num>
  <w:num w:numId="31">
    <w:abstractNumId w:val="19"/>
  </w:num>
  <w:num w:numId="32">
    <w:abstractNumId w:val="6"/>
  </w:num>
  <w:num w:numId="33">
    <w:abstractNumId w:val="23"/>
  </w:num>
  <w:num w:numId="34">
    <w:abstractNumId w:val="18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4"/>
  </w:num>
  <w:num w:numId="4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"/>
  </w:num>
  <w:num w:numId="45">
    <w:abstractNumId w:val="27"/>
  </w:num>
  <w:num w:numId="46">
    <w:abstractNumId w:val="28"/>
  </w:num>
  <w:num w:numId="47">
    <w:abstractNumId w:val="42"/>
  </w:num>
  <w:num w:numId="48">
    <w:abstractNumId w:val="12"/>
  </w:num>
  <w:num w:numId="49">
    <w:abstractNumId w:val="11"/>
  </w:num>
  <w:num w:numId="50">
    <w:abstractNumId w:val="30"/>
  </w:num>
  <w:num w:numId="51">
    <w:abstractNumId w:val="43"/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000C94"/>
    <w:rsid w:val="0000393F"/>
    <w:rsid w:val="000113C9"/>
    <w:rsid w:val="000117D4"/>
    <w:rsid w:val="0001586E"/>
    <w:rsid w:val="00020C83"/>
    <w:rsid w:val="000268C8"/>
    <w:rsid w:val="000314D7"/>
    <w:rsid w:val="0003185A"/>
    <w:rsid w:val="00032003"/>
    <w:rsid w:val="00045F8B"/>
    <w:rsid w:val="00046D2B"/>
    <w:rsid w:val="00056263"/>
    <w:rsid w:val="00064D8A"/>
    <w:rsid w:val="00064F82"/>
    <w:rsid w:val="00066510"/>
    <w:rsid w:val="000667FD"/>
    <w:rsid w:val="0007094D"/>
    <w:rsid w:val="00072B72"/>
    <w:rsid w:val="00075CCD"/>
    <w:rsid w:val="00077523"/>
    <w:rsid w:val="00084A07"/>
    <w:rsid w:val="00092025"/>
    <w:rsid w:val="000947DC"/>
    <w:rsid w:val="000B1C69"/>
    <w:rsid w:val="000B2C57"/>
    <w:rsid w:val="000B371A"/>
    <w:rsid w:val="000C089F"/>
    <w:rsid w:val="000C3928"/>
    <w:rsid w:val="000C5E8E"/>
    <w:rsid w:val="000C7318"/>
    <w:rsid w:val="000D4345"/>
    <w:rsid w:val="000E1CFC"/>
    <w:rsid w:val="000E3620"/>
    <w:rsid w:val="000F417B"/>
    <w:rsid w:val="000F4481"/>
    <w:rsid w:val="000F4751"/>
    <w:rsid w:val="000F6C7B"/>
    <w:rsid w:val="00101AE2"/>
    <w:rsid w:val="0010524C"/>
    <w:rsid w:val="0010763E"/>
    <w:rsid w:val="00107E75"/>
    <w:rsid w:val="00111FB1"/>
    <w:rsid w:val="00113418"/>
    <w:rsid w:val="00114C3E"/>
    <w:rsid w:val="00115F26"/>
    <w:rsid w:val="00133E0C"/>
    <w:rsid w:val="001356F1"/>
    <w:rsid w:val="00135FB6"/>
    <w:rsid w:val="00136994"/>
    <w:rsid w:val="0014128E"/>
    <w:rsid w:val="00146C4F"/>
    <w:rsid w:val="00151888"/>
    <w:rsid w:val="00156BFE"/>
    <w:rsid w:val="001606C2"/>
    <w:rsid w:val="00160901"/>
    <w:rsid w:val="00170A2D"/>
    <w:rsid w:val="00171D89"/>
    <w:rsid w:val="00175E59"/>
    <w:rsid w:val="001761CB"/>
    <w:rsid w:val="001808BC"/>
    <w:rsid w:val="00182B81"/>
    <w:rsid w:val="0018619D"/>
    <w:rsid w:val="00186258"/>
    <w:rsid w:val="00195B34"/>
    <w:rsid w:val="001A011E"/>
    <w:rsid w:val="001A066A"/>
    <w:rsid w:val="001A13E6"/>
    <w:rsid w:val="001A530C"/>
    <w:rsid w:val="001A5731"/>
    <w:rsid w:val="001B3EBB"/>
    <w:rsid w:val="001B42C3"/>
    <w:rsid w:val="001C3084"/>
    <w:rsid w:val="001C5D5E"/>
    <w:rsid w:val="001D4D6D"/>
    <w:rsid w:val="001D5A64"/>
    <w:rsid w:val="001D678D"/>
    <w:rsid w:val="001E03F8"/>
    <w:rsid w:val="001E1678"/>
    <w:rsid w:val="001E266B"/>
    <w:rsid w:val="001E3376"/>
    <w:rsid w:val="001F20DE"/>
    <w:rsid w:val="001F31D2"/>
    <w:rsid w:val="00203C5C"/>
    <w:rsid w:val="002069B3"/>
    <w:rsid w:val="002162B8"/>
    <w:rsid w:val="002171F4"/>
    <w:rsid w:val="002241ED"/>
    <w:rsid w:val="002329CF"/>
    <w:rsid w:val="00232F5B"/>
    <w:rsid w:val="00247C29"/>
    <w:rsid w:val="00260467"/>
    <w:rsid w:val="00262A9D"/>
    <w:rsid w:val="00263EA3"/>
    <w:rsid w:val="00264568"/>
    <w:rsid w:val="002738A2"/>
    <w:rsid w:val="00281AAF"/>
    <w:rsid w:val="00283B69"/>
    <w:rsid w:val="00284F85"/>
    <w:rsid w:val="00290915"/>
    <w:rsid w:val="002A100D"/>
    <w:rsid w:val="002A22E2"/>
    <w:rsid w:val="002A2D09"/>
    <w:rsid w:val="002A4510"/>
    <w:rsid w:val="002B12F2"/>
    <w:rsid w:val="002C64F7"/>
    <w:rsid w:val="002D053C"/>
    <w:rsid w:val="002E6689"/>
    <w:rsid w:val="002F41F2"/>
    <w:rsid w:val="00301BF3"/>
    <w:rsid w:val="0030208D"/>
    <w:rsid w:val="003035D9"/>
    <w:rsid w:val="003058CB"/>
    <w:rsid w:val="00307A24"/>
    <w:rsid w:val="003165D8"/>
    <w:rsid w:val="00323418"/>
    <w:rsid w:val="00325AA3"/>
    <w:rsid w:val="003357BF"/>
    <w:rsid w:val="003464E1"/>
    <w:rsid w:val="00361C76"/>
    <w:rsid w:val="0036423D"/>
    <w:rsid w:val="00364FAD"/>
    <w:rsid w:val="0036738F"/>
    <w:rsid w:val="0036759C"/>
    <w:rsid w:val="00367AE5"/>
    <w:rsid w:val="00367D71"/>
    <w:rsid w:val="00370027"/>
    <w:rsid w:val="0037015A"/>
    <w:rsid w:val="00370487"/>
    <w:rsid w:val="00373BD7"/>
    <w:rsid w:val="00375BE2"/>
    <w:rsid w:val="0038150A"/>
    <w:rsid w:val="0039194E"/>
    <w:rsid w:val="0039357B"/>
    <w:rsid w:val="00395737"/>
    <w:rsid w:val="003A26FD"/>
    <w:rsid w:val="003A5955"/>
    <w:rsid w:val="003A76C8"/>
    <w:rsid w:val="003B0980"/>
    <w:rsid w:val="003B6E75"/>
    <w:rsid w:val="003B7DA1"/>
    <w:rsid w:val="003C5012"/>
    <w:rsid w:val="003C5775"/>
    <w:rsid w:val="003D0379"/>
    <w:rsid w:val="003D1756"/>
    <w:rsid w:val="003D2574"/>
    <w:rsid w:val="003D4C59"/>
    <w:rsid w:val="003F4267"/>
    <w:rsid w:val="00404032"/>
    <w:rsid w:val="0040736F"/>
    <w:rsid w:val="00412C1F"/>
    <w:rsid w:val="0041439C"/>
    <w:rsid w:val="0041652A"/>
    <w:rsid w:val="0042030E"/>
    <w:rsid w:val="00420DB0"/>
    <w:rsid w:val="004211ED"/>
    <w:rsid w:val="00421CB2"/>
    <w:rsid w:val="004268B9"/>
    <w:rsid w:val="00433455"/>
    <w:rsid w:val="00433B96"/>
    <w:rsid w:val="004365F8"/>
    <w:rsid w:val="004440F1"/>
    <w:rsid w:val="004456DD"/>
    <w:rsid w:val="00446CDF"/>
    <w:rsid w:val="00450474"/>
    <w:rsid w:val="00452055"/>
    <w:rsid w:val="004521B7"/>
    <w:rsid w:val="004548E3"/>
    <w:rsid w:val="00457873"/>
    <w:rsid w:val="00462AB5"/>
    <w:rsid w:val="004653AD"/>
    <w:rsid w:val="00465EAF"/>
    <w:rsid w:val="004711FC"/>
    <w:rsid w:val="004738C5"/>
    <w:rsid w:val="00473F3E"/>
    <w:rsid w:val="00475860"/>
    <w:rsid w:val="00477BE1"/>
    <w:rsid w:val="004804B9"/>
    <w:rsid w:val="00484329"/>
    <w:rsid w:val="00487092"/>
    <w:rsid w:val="00491046"/>
    <w:rsid w:val="004A043B"/>
    <w:rsid w:val="004A27B5"/>
    <w:rsid w:val="004A2AC7"/>
    <w:rsid w:val="004A3E93"/>
    <w:rsid w:val="004A6D2F"/>
    <w:rsid w:val="004B1835"/>
    <w:rsid w:val="004C0C86"/>
    <w:rsid w:val="004C2887"/>
    <w:rsid w:val="004D2626"/>
    <w:rsid w:val="004D6E26"/>
    <w:rsid w:val="004D77D3"/>
    <w:rsid w:val="004E2959"/>
    <w:rsid w:val="004F20EF"/>
    <w:rsid w:val="004F58F7"/>
    <w:rsid w:val="004F7774"/>
    <w:rsid w:val="00502412"/>
    <w:rsid w:val="0050321C"/>
    <w:rsid w:val="00505EA4"/>
    <w:rsid w:val="00507FE0"/>
    <w:rsid w:val="00525F6A"/>
    <w:rsid w:val="005268C5"/>
    <w:rsid w:val="005427A0"/>
    <w:rsid w:val="0054712D"/>
    <w:rsid w:val="00547EF6"/>
    <w:rsid w:val="00550211"/>
    <w:rsid w:val="00552930"/>
    <w:rsid w:val="00554C9B"/>
    <w:rsid w:val="005570B5"/>
    <w:rsid w:val="00560AC5"/>
    <w:rsid w:val="00566E73"/>
    <w:rsid w:val="00567DDE"/>
    <w:rsid w:val="00567E18"/>
    <w:rsid w:val="0057130A"/>
    <w:rsid w:val="00574982"/>
    <w:rsid w:val="00575235"/>
    <w:rsid w:val="00575F5F"/>
    <w:rsid w:val="005807BA"/>
    <w:rsid w:val="00581805"/>
    <w:rsid w:val="00585F76"/>
    <w:rsid w:val="00591686"/>
    <w:rsid w:val="0059368E"/>
    <w:rsid w:val="005A10AD"/>
    <w:rsid w:val="005A1B43"/>
    <w:rsid w:val="005A34C6"/>
    <w:rsid w:val="005A34E4"/>
    <w:rsid w:val="005A60D1"/>
    <w:rsid w:val="005B17F2"/>
    <w:rsid w:val="005B195B"/>
    <w:rsid w:val="005B51E9"/>
    <w:rsid w:val="005B757B"/>
    <w:rsid w:val="005B7FB0"/>
    <w:rsid w:val="005C35A5"/>
    <w:rsid w:val="005C3B91"/>
    <w:rsid w:val="005C577C"/>
    <w:rsid w:val="005C7E85"/>
    <w:rsid w:val="005D0621"/>
    <w:rsid w:val="005D1E27"/>
    <w:rsid w:val="005D2A3E"/>
    <w:rsid w:val="005D6973"/>
    <w:rsid w:val="005E022E"/>
    <w:rsid w:val="005E38FD"/>
    <w:rsid w:val="005E4D5E"/>
    <w:rsid w:val="005E5215"/>
    <w:rsid w:val="005F3F9E"/>
    <w:rsid w:val="005F7F7E"/>
    <w:rsid w:val="00607D7C"/>
    <w:rsid w:val="00614693"/>
    <w:rsid w:val="00623C2F"/>
    <w:rsid w:val="00627066"/>
    <w:rsid w:val="00633578"/>
    <w:rsid w:val="00636D62"/>
    <w:rsid w:val="00637068"/>
    <w:rsid w:val="00640036"/>
    <w:rsid w:val="00645945"/>
    <w:rsid w:val="00645BA8"/>
    <w:rsid w:val="00650811"/>
    <w:rsid w:val="00656FDA"/>
    <w:rsid w:val="00661D3E"/>
    <w:rsid w:val="006628EA"/>
    <w:rsid w:val="0068312A"/>
    <w:rsid w:val="00692627"/>
    <w:rsid w:val="00693EC9"/>
    <w:rsid w:val="00694382"/>
    <w:rsid w:val="006951D2"/>
    <w:rsid w:val="0069627F"/>
    <w:rsid w:val="006969E7"/>
    <w:rsid w:val="006A3595"/>
    <w:rsid w:val="006A3643"/>
    <w:rsid w:val="006C2A29"/>
    <w:rsid w:val="006C64CF"/>
    <w:rsid w:val="006C6D5D"/>
    <w:rsid w:val="006D052F"/>
    <w:rsid w:val="006D17B1"/>
    <w:rsid w:val="006D4752"/>
    <w:rsid w:val="006D708A"/>
    <w:rsid w:val="006E14C1"/>
    <w:rsid w:val="006E2ADB"/>
    <w:rsid w:val="006F0292"/>
    <w:rsid w:val="006F27FA"/>
    <w:rsid w:val="006F416B"/>
    <w:rsid w:val="006F519B"/>
    <w:rsid w:val="00702F10"/>
    <w:rsid w:val="0070374C"/>
    <w:rsid w:val="00707C98"/>
    <w:rsid w:val="00713675"/>
    <w:rsid w:val="00715823"/>
    <w:rsid w:val="00724962"/>
    <w:rsid w:val="00730749"/>
    <w:rsid w:val="007337DF"/>
    <w:rsid w:val="0073566C"/>
    <w:rsid w:val="007359CC"/>
    <w:rsid w:val="007367F6"/>
    <w:rsid w:val="00737B93"/>
    <w:rsid w:val="00737C85"/>
    <w:rsid w:val="00740B8D"/>
    <w:rsid w:val="007413BB"/>
    <w:rsid w:val="0074315C"/>
    <w:rsid w:val="00745BF0"/>
    <w:rsid w:val="00747E50"/>
    <w:rsid w:val="00750782"/>
    <w:rsid w:val="007615FE"/>
    <w:rsid w:val="0076335E"/>
    <w:rsid w:val="0076655C"/>
    <w:rsid w:val="00766E53"/>
    <w:rsid w:val="00772E55"/>
    <w:rsid w:val="007739F1"/>
    <w:rsid w:val="007742DC"/>
    <w:rsid w:val="00781DAC"/>
    <w:rsid w:val="007859F3"/>
    <w:rsid w:val="00785B28"/>
    <w:rsid w:val="00787226"/>
    <w:rsid w:val="00791437"/>
    <w:rsid w:val="007A2866"/>
    <w:rsid w:val="007A3B17"/>
    <w:rsid w:val="007A7DDC"/>
    <w:rsid w:val="007B0C2C"/>
    <w:rsid w:val="007B18DF"/>
    <w:rsid w:val="007B278E"/>
    <w:rsid w:val="007C0DE5"/>
    <w:rsid w:val="007C160C"/>
    <w:rsid w:val="007C365E"/>
    <w:rsid w:val="007C5C23"/>
    <w:rsid w:val="007E2A26"/>
    <w:rsid w:val="007E4CEC"/>
    <w:rsid w:val="007F2348"/>
    <w:rsid w:val="00801432"/>
    <w:rsid w:val="00803F07"/>
    <w:rsid w:val="008042E9"/>
    <w:rsid w:val="0080749A"/>
    <w:rsid w:val="0081127D"/>
    <w:rsid w:val="00821FB8"/>
    <w:rsid w:val="00822ACD"/>
    <w:rsid w:val="00840B10"/>
    <w:rsid w:val="0084453C"/>
    <w:rsid w:val="008512F7"/>
    <w:rsid w:val="00855C66"/>
    <w:rsid w:val="00857898"/>
    <w:rsid w:val="00860ED9"/>
    <w:rsid w:val="00864603"/>
    <w:rsid w:val="00871EE4"/>
    <w:rsid w:val="00880096"/>
    <w:rsid w:val="00884D1C"/>
    <w:rsid w:val="008942B1"/>
    <w:rsid w:val="00896566"/>
    <w:rsid w:val="008A286C"/>
    <w:rsid w:val="008B293F"/>
    <w:rsid w:val="008B593E"/>
    <w:rsid w:val="008B7371"/>
    <w:rsid w:val="008B7B7A"/>
    <w:rsid w:val="008C247C"/>
    <w:rsid w:val="008D10B0"/>
    <w:rsid w:val="008D11F4"/>
    <w:rsid w:val="008D3DDB"/>
    <w:rsid w:val="008E78E1"/>
    <w:rsid w:val="008F261E"/>
    <w:rsid w:val="008F2CDD"/>
    <w:rsid w:val="008F573F"/>
    <w:rsid w:val="008F70A7"/>
    <w:rsid w:val="008F7CC4"/>
    <w:rsid w:val="009034EC"/>
    <w:rsid w:val="00907C06"/>
    <w:rsid w:val="00922669"/>
    <w:rsid w:val="00927573"/>
    <w:rsid w:val="0093067A"/>
    <w:rsid w:val="009347AE"/>
    <w:rsid w:val="00941C60"/>
    <w:rsid w:val="00941FD1"/>
    <w:rsid w:val="00944CB4"/>
    <w:rsid w:val="009467AC"/>
    <w:rsid w:val="009552C0"/>
    <w:rsid w:val="00955C90"/>
    <w:rsid w:val="00962C1E"/>
    <w:rsid w:val="00963593"/>
    <w:rsid w:val="00966D42"/>
    <w:rsid w:val="00970FD1"/>
    <w:rsid w:val="00971689"/>
    <w:rsid w:val="00973E90"/>
    <w:rsid w:val="00975B07"/>
    <w:rsid w:val="00980B4A"/>
    <w:rsid w:val="009838F7"/>
    <w:rsid w:val="0098546B"/>
    <w:rsid w:val="009A6A14"/>
    <w:rsid w:val="009A76D0"/>
    <w:rsid w:val="009B3AF0"/>
    <w:rsid w:val="009E3D0A"/>
    <w:rsid w:val="009E51FC"/>
    <w:rsid w:val="009F1D28"/>
    <w:rsid w:val="009F3678"/>
    <w:rsid w:val="009F7618"/>
    <w:rsid w:val="00A0266C"/>
    <w:rsid w:val="00A04D23"/>
    <w:rsid w:val="00A06766"/>
    <w:rsid w:val="00A0771E"/>
    <w:rsid w:val="00A10491"/>
    <w:rsid w:val="00A10FD4"/>
    <w:rsid w:val="00A12CB8"/>
    <w:rsid w:val="00A130EB"/>
    <w:rsid w:val="00A13765"/>
    <w:rsid w:val="00A16C70"/>
    <w:rsid w:val="00A21B12"/>
    <w:rsid w:val="00A232EB"/>
    <w:rsid w:val="00A23F80"/>
    <w:rsid w:val="00A25E7D"/>
    <w:rsid w:val="00A3024F"/>
    <w:rsid w:val="00A37A61"/>
    <w:rsid w:val="00A4234D"/>
    <w:rsid w:val="00A423BF"/>
    <w:rsid w:val="00A464C4"/>
    <w:rsid w:val="00A46E98"/>
    <w:rsid w:val="00A6352B"/>
    <w:rsid w:val="00A6491A"/>
    <w:rsid w:val="00A701B5"/>
    <w:rsid w:val="00A714BB"/>
    <w:rsid w:val="00A7466F"/>
    <w:rsid w:val="00A77147"/>
    <w:rsid w:val="00A810FC"/>
    <w:rsid w:val="00A84706"/>
    <w:rsid w:val="00A84925"/>
    <w:rsid w:val="00A9198A"/>
    <w:rsid w:val="00A92D8F"/>
    <w:rsid w:val="00A955E7"/>
    <w:rsid w:val="00A97094"/>
    <w:rsid w:val="00AB2988"/>
    <w:rsid w:val="00AB4DB4"/>
    <w:rsid w:val="00AB5546"/>
    <w:rsid w:val="00AB5D12"/>
    <w:rsid w:val="00AB7999"/>
    <w:rsid w:val="00AC3EAA"/>
    <w:rsid w:val="00AD182A"/>
    <w:rsid w:val="00AD3292"/>
    <w:rsid w:val="00AD640A"/>
    <w:rsid w:val="00AD651C"/>
    <w:rsid w:val="00AD78FD"/>
    <w:rsid w:val="00AE6397"/>
    <w:rsid w:val="00AE7AF0"/>
    <w:rsid w:val="00AF1F30"/>
    <w:rsid w:val="00AF5B39"/>
    <w:rsid w:val="00AF62B4"/>
    <w:rsid w:val="00B02023"/>
    <w:rsid w:val="00B044C6"/>
    <w:rsid w:val="00B1504F"/>
    <w:rsid w:val="00B316F4"/>
    <w:rsid w:val="00B31F0C"/>
    <w:rsid w:val="00B3365D"/>
    <w:rsid w:val="00B350A9"/>
    <w:rsid w:val="00B35A1F"/>
    <w:rsid w:val="00B500CA"/>
    <w:rsid w:val="00B53D92"/>
    <w:rsid w:val="00B61BAC"/>
    <w:rsid w:val="00B620EE"/>
    <w:rsid w:val="00B72DE8"/>
    <w:rsid w:val="00B86314"/>
    <w:rsid w:val="00B868E6"/>
    <w:rsid w:val="00BA1C2E"/>
    <w:rsid w:val="00BA453E"/>
    <w:rsid w:val="00BB5DBA"/>
    <w:rsid w:val="00BC200B"/>
    <w:rsid w:val="00BC2969"/>
    <w:rsid w:val="00BC4756"/>
    <w:rsid w:val="00BC69A4"/>
    <w:rsid w:val="00BC6E74"/>
    <w:rsid w:val="00BD0A36"/>
    <w:rsid w:val="00BD1A6B"/>
    <w:rsid w:val="00BE0680"/>
    <w:rsid w:val="00BE2DA6"/>
    <w:rsid w:val="00BE305F"/>
    <w:rsid w:val="00BE36E5"/>
    <w:rsid w:val="00BE62B5"/>
    <w:rsid w:val="00BE7BA3"/>
    <w:rsid w:val="00BF5682"/>
    <w:rsid w:val="00BF7B09"/>
    <w:rsid w:val="00C02439"/>
    <w:rsid w:val="00C054E1"/>
    <w:rsid w:val="00C063D2"/>
    <w:rsid w:val="00C0652D"/>
    <w:rsid w:val="00C1575B"/>
    <w:rsid w:val="00C20A95"/>
    <w:rsid w:val="00C217FB"/>
    <w:rsid w:val="00C2692F"/>
    <w:rsid w:val="00C3207C"/>
    <w:rsid w:val="00C348AE"/>
    <w:rsid w:val="00C35C8E"/>
    <w:rsid w:val="00C400E1"/>
    <w:rsid w:val="00C40259"/>
    <w:rsid w:val="00C40B11"/>
    <w:rsid w:val="00C41187"/>
    <w:rsid w:val="00C44B54"/>
    <w:rsid w:val="00C53BE7"/>
    <w:rsid w:val="00C63BC2"/>
    <w:rsid w:val="00C63C31"/>
    <w:rsid w:val="00C7349D"/>
    <w:rsid w:val="00C757A0"/>
    <w:rsid w:val="00C760DE"/>
    <w:rsid w:val="00C82630"/>
    <w:rsid w:val="00C82AC0"/>
    <w:rsid w:val="00C85B4E"/>
    <w:rsid w:val="00C905BB"/>
    <w:rsid w:val="00C907F7"/>
    <w:rsid w:val="00C92729"/>
    <w:rsid w:val="00CA2103"/>
    <w:rsid w:val="00CB6B99"/>
    <w:rsid w:val="00CC68B0"/>
    <w:rsid w:val="00CD6438"/>
    <w:rsid w:val="00CE4C87"/>
    <w:rsid w:val="00CE544A"/>
    <w:rsid w:val="00CF2861"/>
    <w:rsid w:val="00D0204E"/>
    <w:rsid w:val="00D04CB0"/>
    <w:rsid w:val="00D11141"/>
    <w:rsid w:val="00D11E1C"/>
    <w:rsid w:val="00D12FA3"/>
    <w:rsid w:val="00D160B0"/>
    <w:rsid w:val="00D177AB"/>
    <w:rsid w:val="00D17F94"/>
    <w:rsid w:val="00D20A1A"/>
    <w:rsid w:val="00D223FC"/>
    <w:rsid w:val="00D23D3A"/>
    <w:rsid w:val="00D26D1E"/>
    <w:rsid w:val="00D27868"/>
    <w:rsid w:val="00D460CD"/>
    <w:rsid w:val="00D474CF"/>
    <w:rsid w:val="00D50A9C"/>
    <w:rsid w:val="00D5547E"/>
    <w:rsid w:val="00D6495D"/>
    <w:rsid w:val="00D664D2"/>
    <w:rsid w:val="00D777C2"/>
    <w:rsid w:val="00D81CEF"/>
    <w:rsid w:val="00D843C3"/>
    <w:rsid w:val="00D869A1"/>
    <w:rsid w:val="00D91DD2"/>
    <w:rsid w:val="00D92DD4"/>
    <w:rsid w:val="00D94D96"/>
    <w:rsid w:val="00DA3E3D"/>
    <w:rsid w:val="00DA413F"/>
    <w:rsid w:val="00DA4584"/>
    <w:rsid w:val="00DA614B"/>
    <w:rsid w:val="00DB1B80"/>
    <w:rsid w:val="00DB27EA"/>
    <w:rsid w:val="00DB3586"/>
    <w:rsid w:val="00DB405A"/>
    <w:rsid w:val="00DB773D"/>
    <w:rsid w:val="00DC2E03"/>
    <w:rsid w:val="00DC3060"/>
    <w:rsid w:val="00DC5214"/>
    <w:rsid w:val="00DC61EC"/>
    <w:rsid w:val="00DC6D17"/>
    <w:rsid w:val="00DD45BC"/>
    <w:rsid w:val="00DE0FB2"/>
    <w:rsid w:val="00DE12F5"/>
    <w:rsid w:val="00DF093E"/>
    <w:rsid w:val="00E01F42"/>
    <w:rsid w:val="00E13656"/>
    <w:rsid w:val="00E14D46"/>
    <w:rsid w:val="00E17C83"/>
    <w:rsid w:val="00E206D6"/>
    <w:rsid w:val="00E21747"/>
    <w:rsid w:val="00E256BE"/>
    <w:rsid w:val="00E30BB3"/>
    <w:rsid w:val="00E30EF2"/>
    <w:rsid w:val="00E3318B"/>
    <w:rsid w:val="00E3366E"/>
    <w:rsid w:val="00E34794"/>
    <w:rsid w:val="00E52086"/>
    <w:rsid w:val="00E543A6"/>
    <w:rsid w:val="00E60479"/>
    <w:rsid w:val="00E61D73"/>
    <w:rsid w:val="00E66993"/>
    <w:rsid w:val="00E73684"/>
    <w:rsid w:val="00E818D6"/>
    <w:rsid w:val="00E87F7A"/>
    <w:rsid w:val="00E96BD7"/>
    <w:rsid w:val="00EA0DB1"/>
    <w:rsid w:val="00EA0EE9"/>
    <w:rsid w:val="00EA1336"/>
    <w:rsid w:val="00EA29B5"/>
    <w:rsid w:val="00EB5425"/>
    <w:rsid w:val="00EB5B71"/>
    <w:rsid w:val="00EB7D34"/>
    <w:rsid w:val="00ED52CA"/>
    <w:rsid w:val="00ED5860"/>
    <w:rsid w:val="00EE1528"/>
    <w:rsid w:val="00EE35C9"/>
    <w:rsid w:val="00EE36FD"/>
    <w:rsid w:val="00EF43CD"/>
    <w:rsid w:val="00F05ECA"/>
    <w:rsid w:val="00F0637E"/>
    <w:rsid w:val="00F11964"/>
    <w:rsid w:val="00F12BCD"/>
    <w:rsid w:val="00F13EB5"/>
    <w:rsid w:val="00F229B8"/>
    <w:rsid w:val="00F3566E"/>
    <w:rsid w:val="00F375FB"/>
    <w:rsid w:val="00F41AC1"/>
    <w:rsid w:val="00F4367A"/>
    <w:rsid w:val="00F445B1"/>
    <w:rsid w:val="00F45CD4"/>
    <w:rsid w:val="00F524C3"/>
    <w:rsid w:val="00F537FC"/>
    <w:rsid w:val="00F669C6"/>
    <w:rsid w:val="00F66DCA"/>
    <w:rsid w:val="00F73D39"/>
    <w:rsid w:val="00F74F53"/>
    <w:rsid w:val="00F7606D"/>
    <w:rsid w:val="00F81670"/>
    <w:rsid w:val="00F82024"/>
    <w:rsid w:val="00F8225B"/>
    <w:rsid w:val="00F937BE"/>
    <w:rsid w:val="00F95BC9"/>
    <w:rsid w:val="00F972F7"/>
    <w:rsid w:val="00FA165B"/>
    <w:rsid w:val="00FA3091"/>
    <w:rsid w:val="00FA624C"/>
    <w:rsid w:val="00FB2B61"/>
    <w:rsid w:val="00FB7646"/>
    <w:rsid w:val="00FB783B"/>
    <w:rsid w:val="00FB7F38"/>
    <w:rsid w:val="00FC14FA"/>
    <w:rsid w:val="00FC269F"/>
    <w:rsid w:val="00FC29CC"/>
    <w:rsid w:val="00FD0FAC"/>
    <w:rsid w:val="00FD0FE4"/>
    <w:rsid w:val="00FD1DFA"/>
    <w:rsid w:val="00FD2AD3"/>
    <w:rsid w:val="00FD4966"/>
    <w:rsid w:val="00FE0854"/>
    <w:rsid w:val="00FE1DFA"/>
    <w:rsid w:val="00FE2377"/>
    <w:rsid w:val="00FE4EB1"/>
    <w:rsid w:val="00FE57DC"/>
    <w:rsid w:val="00FE7376"/>
    <w:rsid w:val="00FE7D8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A3205A00-07AC-4F5F-94D5-DB33B98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82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link w:val="Foot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92729"/>
    <w:rPr>
      <w:i/>
      <w:iCs/>
    </w:rPr>
  </w:style>
  <w:style w:type="table" w:customStyle="1" w:styleId="TableGrid1">
    <w:name w:val="Table Grid1"/>
    <w:basedOn w:val="TableNormal"/>
    <w:next w:val="TableGrid"/>
    <w:rsid w:val="00FB7F38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B1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702F10"/>
    <w:rPr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nfield@oxford.gov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19D7-51A6-45A4-AAC0-AA84486A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1D2AC24F.dotm</Template>
  <TotalTime>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THOMPSON Jennifer</cp:lastModifiedBy>
  <cp:revision>3</cp:revision>
  <cp:lastPrinted>2019-08-28T11:12:00Z</cp:lastPrinted>
  <dcterms:created xsi:type="dcterms:W3CDTF">2020-12-01T14:58:00Z</dcterms:created>
  <dcterms:modified xsi:type="dcterms:W3CDTF">2020-12-08T12:37:00Z</dcterms:modified>
</cp:coreProperties>
</file>